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12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2014 - 2022</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15.2</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20/12/2022 - 13:28:40 CET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13</w:t>
        </w:r>
        <w:r>
          <w:fldChar w:fldCharType="end"/>
        </w:r>
      </w:hyperlink>
    </w:p>
    <w:p>
      <w:pPr>
        <w:pStyle w:val="TOC2"/>
        <w:rPr>
          <w:rFonts w:ascii="Calibri" w:hAnsi="Calibr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13</w:t>
        </w:r>
        <w:r>
          <w:fldChar w:fldCharType="end"/>
        </w:r>
      </w:hyperlink>
    </w:p>
    <w:p>
      <w:pPr>
        <w:pStyle w:val="TOC3"/>
        <w:rPr>
          <w:rFonts w:ascii="Calibri" w:hAnsi="Calibr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13</w:t>
        </w:r>
        <w:r>
          <w:fldChar w:fldCharType="end"/>
        </w:r>
      </w:hyperlink>
    </w:p>
    <w:p>
      <w:pPr>
        <w:pStyle w:val="TOC3"/>
        <w:rPr>
          <w:rFonts w:ascii="Calibri" w:hAnsi="Calibr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13</w:t>
        </w:r>
        <w:r>
          <w:fldChar w:fldCharType="end"/>
        </w:r>
      </w:hyperlink>
    </w:p>
    <w:p>
      <w:pPr>
        <w:pStyle w:val="TOC3"/>
        <w:rPr>
          <w:rFonts w:ascii="Calibri" w:hAnsi="Calibr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13</w:t>
        </w:r>
        <w:r>
          <w:fldChar w:fldCharType="end"/>
        </w:r>
      </w:hyperlink>
    </w:p>
    <w:p>
      <w:pPr>
        <w:pStyle w:val="TOC3"/>
        <w:rPr>
          <w:rFonts w:ascii="Calibri" w:hAnsi="Calibr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13</w:t>
        </w:r>
        <w:r>
          <w:fldChar w:fldCharType="end"/>
        </w:r>
      </w:hyperlink>
    </w:p>
    <w:p>
      <w:pPr>
        <w:pStyle w:val="TOC3"/>
        <w:rPr>
          <w:rFonts w:ascii="Calibri" w:hAnsi="Calibr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13</w:t>
        </w:r>
        <w:r>
          <w:fldChar w:fldCharType="end"/>
        </w:r>
      </w:hyperlink>
    </w:p>
    <w:p>
      <w:pPr>
        <w:pStyle w:val="TOC1"/>
        <w:rPr>
          <w:rFonts w:ascii="Calibri" w:hAnsi="Calibr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21</w:t>
        </w:r>
        <w:r>
          <w:fldChar w:fldCharType="end"/>
        </w:r>
      </w:hyperlink>
    </w:p>
    <w:p>
      <w:pPr>
        <w:pStyle w:val="TOC2"/>
        <w:rPr>
          <w:rFonts w:ascii="Calibri" w:hAnsi="Calibr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21</w:t>
        </w:r>
        <w:r>
          <w:fldChar w:fldCharType="end"/>
        </w:r>
      </w:hyperlink>
    </w:p>
    <w:p>
      <w:pPr>
        <w:pStyle w:val="TOC2"/>
        <w:rPr>
          <w:rFonts w:ascii="Calibri" w:hAnsi="Calibr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21</w:t>
        </w:r>
        <w:r>
          <w:fldChar w:fldCharType="end"/>
        </w:r>
      </w:hyperlink>
    </w:p>
    <w:p>
      <w:pPr>
        <w:pStyle w:val="TOC1"/>
        <w:rPr>
          <w:rFonts w:ascii="Calibri" w:hAnsi="Calibr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22</w:t>
        </w:r>
        <w:r>
          <w:fldChar w:fldCharType="end"/>
        </w:r>
      </w:hyperlink>
    </w:p>
    <w:p>
      <w:pPr>
        <w:pStyle w:val="TOC2"/>
        <w:rPr>
          <w:rFonts w:ascii="Calibri" w:hAnsi="Calibr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22</w:t>
        </w:r>
        <w:r>
          <w:fldChar w:fldCharType="end"/>
        </w:r>
      </w:hyperlink>
    </w:p>
    <w:p>
      <w:pPr>
        <w:pStyle w:val="TOC2"/>
        <w:rPr>
          <w:rFonts w:ascii="Calibri" w:hAnsi="Calibr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24</w:t>
        </w:r>
        <w:r>
          <w:fldChar w:fldCharType="end"/>
        </w:r>
      </w:hyperlink>
    </w:p>
    <w:p>
      <w:pPr>
        <w:pStyle w:val="TOC3"/>
        <w:rPr>
          <w:rFonts w:ascii="Calibri" w:hAnsi="Calibr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25</w:t>
        </w:r>
        <w:r>
          <w:fldChar w:fldCharType="end"/>
        </w:r>
      </w:hyperlink>
    </w:p>
    <w:p>
      <w:pPr>
        <w:pStyle w:val="TOC3"/>
        <w:rPr>
          <w:rFonts w:ascii="Calibri" w:hAnsi="Calibr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26</w:t>
        </w:r>
        <w:r>
          <w:fldChar w:fldCharType="end"/>
        </w:r>
      </w:hyperlink>
    </w:p>
    <w:p>
      <w:pPr>
        <w:pStyle w:val="TOC3"/>
        <w:rPr>
          <w:rFonts w:ascii="Calibri" w:hAnsi="Calibr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26</w:t>
        </w:r>
        <w:r>
          <w:fldChar w:fldCharType="end"/>
        </w:r>
      </w:hyperlink>
    </w:p>
    <w:p>
      <w:pPr>
        <w:pStyle w:val="TOC3"/>
        <w:rPr>
          <w:rFonts w:ascii="Calibri" w:hAnsi="Calibr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27</w:t>
        </w:r>
        <w:r>
          <w:fldChar w:fldCharType="end"/>
        </w:r>
      </w:hyperlink>
    </w:p>
    <w:p>
      <w:pPr>
        <w:pStyle w:val="TOC3"/>
        <w:rPr>
          <w:rFonts w:ascii="Calibri" w:hAnsi="Calibr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27</w:t>
        </w:r>
        <w:r>
          <w:fldChar w:fldCharType="end"/>
        </w:r>
      </w:hyperlink>
    </w:p>
    <w:p>
      <w:pPr>
        <w:pStyle w:val="TOC3"/>
        <w:rPr>
          <w:rFonts w:ascii="Calibri" w:hAnsi="Calibr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28</w:t>
        </w:r>
        <w:r>
          <w:fldChar w:fldCharType="end"/>
        </w:r>
      </w:hyperlink>
    </w:p>
    <w:p>
      <w:pPr>
        <w:pStyle w:val="TOC3"/>
        <w:rPr>
          <w:rFonts w:ascii="Calibri" w:hAnsi="Calibr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28</w:t>
        </w:r>
        <w:r>
          <w:fldChar w:fldCharType="end"/>
        </w:r>
      </w:hyperlink>
    </w:p>
    <w:p>
      <w:pPr>
        <w:pStyle w:val="TOC3"/>
        <w:rPr>
          <w:rFonts w:ascii="Calibri" w:hAnsi="Calibr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29</w:t>
        </w:r>
        <w:r>
          <w:fldChar w:fldCharType="end"/>
        </w:r>
      </w:hyperlink>
    </w:p>
    <w:p>
      <w:pPr>
        <w:pStyle w:val="TOC3"/>
        <w:rPr>
          <w:rFonts w:ascii="Calibri" w:hAnsi="Calibr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29</w:t>
        </w:r>
        <w:r>
          <w:fldChar w:fldCharType="end"/>
        </w:r>
      </w:hyperlink>
    </w:p>
    <w:p>
      <w:pPr>
        <w:pStyle w:val="TOC3"/>
        <w:rPr>
          <w:rFonts w:ascii="Calibri" w:hAnsi="Calibr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30</w:t>
        </w:r>
        <w:r>
          <w:fldChar w:fldCharType="end"/>
        </w:r>
      </w:hyperlink>
    </w:p>
    <w:p>
      <w:pPr>
        <w:pStyle w:val="TOC3"/>
        <w:rPr>
          <w:rFonts w:ascii="Calibri" w:hAnsi="Calibr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30</w:t>
        </w:r>
        <w:r>
          <w:fldChar w:fldCharType="end"/>
        </w:r>
      </w:hyperlink>
    </w:p>
    <w:p>
      <w:pPr>
        <w:pStyle w:val="TOC3"/>
        <w:rPr>
          <w:rFonts w:ascii="Calibri" w:hAnsi="Calibr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31</w:t>
        </w:r>
        <w:r>
          <w:fldChar w:fldCharType="end"/>
        </w:r>
      </w:hyperlink>
    </w:p>
    <w:p>
      <w:pPr>
        <w:pStyle w:val="TOC3"/>
        <w:rPr>
          <w:rFonts w:ascii="Calibri" w:hAnsi="Calibr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31</w:t>
        </w:r>
        <w:r>
          <w:fldChar w:fldCharType="end"/>
        </w:r>
      </w:hyperlink>
    </w:p>
    <w:p>
      <w:pPr>
        <w:pStyle w:val="TOC3"/>
        <w:rPr>
          <w:rFonts w:ascii="Calibri" w:hAnsi="Calibr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32</w:t>
        </w:r>
        <w:r>
          <w:fldChar w:fldCharType="end"/>
        </w:r>
      </w:hyperlink>
    </w:p>
    <w:p>
      <w:pPr>
        <w:pStyle w:val="TOC3"/>
        <w:rPr>
          <w:rFonts w:ascii="Calibri" w:hAnsi="Calibr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32</w:t>
        </w:r>
        <w:r>
          <w:fldChar w:fldCharType="end"/>
        </w:r>
      </w:hyperlink>
    </w:p>
    <w:p>
      <w:pPr>
        <w:pStyle w:val="TOC3"/>
        <w:rPr>
          <w:rFonts w:ascii="Calibri" w:hAnsi="Calibr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33</w:t>
        </w:r>
        <w:r>
          <w:fldChar w:fldCharType="end"/>
        </w:r>
      </w:hyperlink>
    </w:p>
    <w:p>
      <w:pPr>
        <w:pStyle w:val="TOC3"/>
        <w:rPr>
          <w:rFonts w:ascii="Calibri" w:hAnsi="Calibr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33</w:t>
        </w:r>
        <w:r>
          <w:fldChar w:fldCharType="end"/>
        </w:r>
      </w:hyperlink>
    </w:p>
    <w:p>
      <w:pPr>
        <w:pStyle w:val="TOC3"/>
        <w:rPr>
          <w:rFonts w:ascii="Calibri" w:hAnsi="Calibr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34</w:t>
        </w:r>
        <w:r>
          <w:fldChar w:fldCharType="end"/>
        </w:r>
      </w:hyperlink>
    </w:p>
    <w:p>
      <w:pPr>
        <w:pStyle w:val="TOC3"/>
        <w:rPr>
          <w:rFonts w:ascii="Calibri" w:hAnsi="Calibr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34</w:t>
        </w:r>
        <w:r>
          <w:fldChar w:fldCharType="end"/>
        </w:r>
      </w:hyperlink>
    </w:p>
    <w:p>
      <w:pPr>
        <w:pStyle w:val="TOC3"/>
        <w:rPr>
          <w:rFonts w:ascii="Calibri" w:hAnsi="Calibr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35</w:t>
        </w:r>
        <w:r>
          <w:fldChar w:fldCharType="end"/>
        </w:r>
      </w:hyperlink>
    </w:p>
    <w:p>
      <w:pPr>
        <w:pStyle w:val="TOC3"/>
        <w:rPr>
          <w:rFonts w:ascii="Calibri" w:hAnsi="Calibr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35</w:t>
        </w:r>
        <w:r>
          <w:fldChar w:fldCharType="end"/>
        </w:r>
      </w:hyperlink>
    </w:p>
    <w:p>
      <w:pPr>
        <w:pStyle w:val="TOC3"/>
        <w:rPr>
          <w:rFonts w:ascii="Calibri" w:hAnsi="Calibr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36</w:t>
        </w:r>
        <w:r>
          <w:fldChar w:fldCharType="end"/>
        </w:r>
      </w:hyperlink>
    </w:p>
    <w:p>
      <w:pPr>
        <w:pStyle w:val="TOC3"/>
        <w:rPr>
          <w:rFonts w:ascii="Calibri" w:hAnsi="Calibr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36</w:t>
        </w:r>
        <w:r>
          <w:fldChar w:fldCharType="end"/>
        </w:r>
      </w:hyperlink>
    </w:p>
    <w:p>
      <w:pPr>
        <w:pStyle w:val="TOC3"/>
        <w:rPr>
          <w:rFonts w:ascii="Calibri" w:hAnsi="Calibr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37</w:t>
        </w:r>
        <w:r>
          <w:fldChar w:fldCharType="end"/>
        </w:r>
      </w:hyperlink>
    </w:p>
    <w:p>
      <w:pPr>
        <w:pStyle w:val="TOC2"/>
        <w:rPr>
          <w:rFonts w:ascii="Calibri" w:hAnsi="Calibr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37</w:t>
        </w:r>
        <w:r>
          <w:fldChar w:fldCharType="end"/>
        </w:r>
      </w:hyperlink>
    </w:p>
    <w:p>
      <w:pPr>
        <w:pStyle w:val="TOC1"/>
        <w:rPr>
          <w:rFonts w:ascii="Calibri" w:hAnsi="Calibr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38</w:t>
        </w:r>
        <w:r>
          <w:fldChar w:fldCharType="end"/>
        </w:r>
      </w:hyperlink>
    </w:p>
    <w:p>
      <w:pPr>
        <w:pStyle w:val="TOC2"/>
        <w:rPr>
          <w:rFonts w:ascii="Calibri" w:hAnsi="Calibr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38</w:t>
        </w:r>
        <w:r>
          <w:fldChar w:fldCharType="end"/>
        </w:r>
      </w:hyperlink>
    </w:p>
    <w:p>
      <w:pPr>
        <w:pStyle w:val="TOC3"/>
        <w:rPr>
          <w:rFonts w:ascii="Calibri" w:hAnsi="Calibr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38</w:t>
        </w:r>
        <w:r>
          <w:fldChar w:fldCharType="end"/>
        </w:r>
      </w:hyperlink>
    </w:p>
    <w:p>
      <w:pPr>
        <w:pStyle w:val="TOC3"/>
        <w:rPr>
          <w:rFonts w:ascii="Calibri" w:hAnsi="Calibr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50</w:t>
        </w:r>
        <w:r>
          <w:fldChar w:fldCharType="end"/>
        </w:r>
      </w:hyperlink>
    </w:p>
    <w:p>
      <w:pPr>
        <w:pStyle w:val="TOC3"/>
        <w:rPr>
          <w:rFonts w:ascii="Calibri" w:hAnsi="Calibr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52</w:t>
        </w:r>
        <w:r>
          <w:fldChar w:fldCharType="end"/>
        </w:r>
      </w:hyperlink>
    </w:p>
    <w:p>
      <w:pPr>
        <w:pStyle w:val="TOC3"/>
        <w:rPr>
          <w:rFonts w:ascii="Calibri" w:hAnsi="Calibr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54</w:t>
        </w:r>
        <w:r>
          <w:fldChar w:fldCharType="end"/>
        </w:r>
      </w:hyperlink>
    </w:p>
    <w:p>
      <w:pPr>
        <w:pStyle w:val="TOC3"/>
        <w:rPr>
          <w:rFonts w:ascii="Calibri" w:hAnsi="Calibr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55</w:t>
        </w:r>
        <w:r>
          <w:fldChar w:fldCharType="end"/>
        </w:r>
      </w:hyperlink>
    </w:p>
    <w:p>
      <w:pPr>
        <w:pStyle w:val="TOC3"/>
        <w:rPr>
          <w:rFonts w:ascii="Calibri" w:hAnsi="Calibr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57</w:t>
        </w:r>
        <w:r>
          <w:fldChar w:fldCharType="end"/>
        </w:r>
      </w:hyperlink>
    </w:p>
    <w:p>
      <w:pPr>
        <w:pStyle w:val="TOC3"/>
        <w:rPr>
          <w:rFonts w:ascii="Calibri" w:hAnsi="Calibr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69</w:t>
        </w:r>
        <w:r>
          <w:fldChar w:fldCharType="end"/>
        </w:r>
      </w:hyperlink>
    </w:p>
    <w:p>
      <w:pPr>
        <w:pStyle w:val="TOC2"/>
        <w:rPr>
          <w:rFonts w:ascii="Calibri" w:hAnsi="Calibr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70</w:t>
        </w:r>
        <w:r>
          <w:fldChar w:fldCharType="end"/>
        </w:r>
      </w:hyperlink>
    </w:p>
    <w:p>
      <w:pPr>
        <w:pStyle w:val="TOC3"/>
        <w:rPr>
          <w:rFonts w:ascii="Calibri" w:hAnsi="Calibr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86</w:t>
        </w:r>
        <w:r>
          <w:fldChar w:fldCharType="end"/>
        </w:r>
      </w:hyperlink>
    </w:p>
    <w:p>
      <w:pPr>
        <w:pStyle w:val="TOC3"/>
        <w:rPr>
          <w:rFonts w:ascii="Calibri" w:hAnsi="Calibr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87</w:t>
        </w:r>
        <w:r>
          <w:fldChar w:fldCharType="end"/>
        </w:r>
      </w:hyperlink>
    </w:p>
    <w:p>
      <w:pPr>
        <w:pStyle w:val="TOC3"/>
        <w:rPr>
          <w:rFonts w:ascii="Calibri" w:hAnsi="Calibr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88</w:t>
        </w:r>
        <w:r>
          <w:fldChar w:fldCharType="end"/>
        </w:r>
      </w:hyperlink>
    </w:p>
    <w:p>
      <w:pPr>
        <w:pStyle w:val="TOC3"/>
        <w:rPr>
          <w:rFonts w:ascii="Calibri" w:hAnsi="Calibr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90</w:t>
        </w:r>
        <w:r>
          <w:fldChar w:fldCharType="end"/>
        </w:r>
      </w:hyperlink>
    </w:p>
    <w:p>
      <w:pPr>
        <w:pStyle w:val="TOC3"/>
        <w:rPr>
          <w:rFonts w:ascii="Calibri" w:hAnsi="Calibr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90</w:t>
        </w:r>
        <w:r>
          <w:fldChar w:fldCharType="end"/>
        </w:r>
      </w:hyperlink>
    </w:p>
    <w:p>
      <w:pPr>
        <w:pStyle w:val="TOC3"/>
        <w:rPr>
          <w:rFonts w:ascii="Calibri" w:hAnsi="Calibr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92</w:t>
        </w:r>
        <w:r>
          <w:fldChar w:fldCharType="end"/>
        </w:r>
      </w:hyperlink>
    </w:p>
    <w:p>
      <w:pPr>
        <w:pStyle w:val="TOC3"/>
        <w:rPr>
          <w:rFonts w:ascii="Calibri" w:hAnsi="Calibr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93</w:t>
        </w:r>
        <w:r>
          <w:fldChar w:fldCharType="end"/>
        </w:r>
      </w:hyperlink>
    </w:p>
    <w:p>
      <w:pPr>
        <w:pStyle w:val="TOC3"/>
        <w:rPr>
          <w:rFonts w:ascii="Calibri" w:hAnsi="Calibr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94</w:t>
        </w:r>
        <w:r>
          <w:fldChar w:fldCharType="end"/>
        </w:r>
      </w:hyperlink>
    </w:p>
    <w:p>
      <w:pPr>
        <w:pStyle w:val="TOC3"/>
        <w:rPr>
          <w:rFonts w:ascii="Calibri" w:hAnsi="Calibr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95</w:t>
        </w:r>
        <w:r>
          <w:fldChar w:fldCharType="end"/>
        </w:r>
      </w:hyperlink>
    </w:p>
    <w:p>
      <w:pPr>
        <w:pStyle w:val="TOC3"/>
        <w:rPr>
          <w:rFonts w:ascii="Calibri" w:hAnsi="Calibr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96</w:t>
        </w:r>
        <w:r>
          <w:fldChar w:fldCharType="end"/>
        </w:r>
      </w:hyperlink>
    </w:p>
    <w:p>
      <w:pPr>
        <w:pStyle w:val="TOC3"/>
        <w:rPr>
          <w:rFonts w:ascii="Calibri" w:hAnsi="Calibr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96</w:t>
        </w:r>
        <w:r>
          <w:fldChar w:fldCharType="end"/>
        </w:r>
      </w:hyperlink>
    </w:p>
    <w:p>
      <w:pPr>
        <w:pStyle w:val="TOC3"/>
        <w:rPr>
          <w:rFonts w:ascii="Calibri" w:hAnsi="Calibr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97</w:t>
        </w:r>
        <w:r>
          <w:fldChar w:fldCharType="end"/>
        </w:r>
      </w:hyperlink>
    </w:p>
    <w:p>
      <w:pPr>
        <w:pStyle w:val="TOC3"/>
        <w:rPr>
          <w:rFonts w:ascii="Calibri" w:hAnsi="Calibr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98</w:t>
        </w:r>
        <w:r>
          <w:fldChar w:fldCharType="end"/>
        </w:r>
      </w:hyperlink>
    </w:p>
    <w:p>
      <w:pPr>
        <w:pStyle w:val="TOC3"/>
        <w:rPr>
          <w:rFonts w:ascii="Calibri" w:hAnsi="Calibr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99</w:t>
        </w:r>
        <w:r>
          <w:fldChar w:fldCharType="end"/>
        </w:r>
      </w:hyperlink>
    </w:p>
    <w:p>
      <w:pPr>
        <w:pStyle w:val="TOC3"/>
        <w:rPr>
          <w:rFonts w:ascii="Calibri" w:hAnsi="Calibr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100</w:t>
        </w:r>
        <w:r>
          <w:fldChar w:fldCharType="end"/>
        </w:r>
      </w:hyperlink>
    </w:p>
    <w:p>
      <w:pPr>
        <w:pStyle w:val="TOC3"/>
        <w:rPr>
          <w:rFonts w:ascii="Calibri" w:hAnsi="Calibr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100</w:t>
        </w:r>
        <w:r>
          <w:fldChar w:fldCharType="end"/>
        </w:r>
      </w:hyperlink>
    </w:p>
    <w:p>
      <w:pPr>
        <w:pStyle w:val="TOC3"/>
        <w:rPr>
          <w:rFonts w:ascii="Calibri" w:hAnsi="Calibr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101</w:t>
        </w:r>
        <w:r>
          <w:fldChar w:fldCharType="end"/>
        </w:r>
      </w:hyperlink>
    </w:p>
    <w:p>
      <w:pPr>
        <w:pStyle w:val="TOC3"/>
        <w:rPr>
          <w:rFonts w:ascii="Calibri" w:hAnsi="Calibr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102</w:t>
        </w:r>
        <w:r>
          <w:fldChar w:fldCharType="end"/>
        </w:r>
      </w:hyperlink>
    </w:p>
    <w:p>
      <w:pPr>
        <w:pStyle w:val="TOC3"/>
        <w:rPr>
          <w:rFonts w:ascii="Calibri" w:hAnsi="Calibr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103</w:t>
        </w:r>
        <w:r>
          <w:fldChar w:fldCharType="end"/>
        </w:r>
      </w:hyperlink>
    </w:p>
    <w:p>
      <w:pPr>
        <w:pStyle w:val="TOC3"/>
        <w:rPr>
          <w:rFonts w:ascii="Calibri" w:hAnsi="Calibr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104</w:t>
        </w:r>
        <w:r>
          <w:fldChar w:fldCharType="end"/>
        </w:r>
      </w:hyperlink>
    </w:p>
    <w:p>
      <w:pPr>
        <w:pStyle w:val="TOC3"/>
        <w:rPr>
          <w:rFonts w:ascii="Calibri" w:hAnsi="Calibr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104</w:t>
        </w:r>
        <w:r>
          <w:fldChar w:fldCharType="end"/>
        </w:r>
      </w:hyperlink>
    </w:p>
    <w:p>
      <w:pPr>
        <w:pStyle w:val="TOC3"/>
        <w:rPr>
          <w:rFonts w:ascii="Calibri" w:hAnsi="Calibr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105</w:t>
        </w:r>
        <w:r>
          <w:fldChar w:fldCharType="end"/>
        </w:r>
      </w:hyperlink>
    </w:p>
    <w:p>
      <w:pPr>
        <w:pStyle w:val="TOC3"/>
        <w:rPr>
          <w:rFonts w:ascii="Calibri" w:hAnsi="Calibr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106</w:t>
        </w:r>
        <w:r>
          <w:fldChar w:fldCharType="end"/>
        </w:r>
      </w:hyperlink>
    </w:p>
    <w:p>
      <w:pPr>
        <w:pStyle w:val="TOC3"/>
        <w:rPr>
          <w:rFonts w:ascii="Calibri" w:hAnsi="Calibr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106</w:t>
        </w:r>
        <w:r>
          <w:fldChar w:fldCharType="end"/>
        </w:r>
      </w:hyperlink>
    </w:p>
    <w:p>
      <w:pPr>
        <w:pStyle w:val="TOC3"/>
        <w:rPr>
          <w:rFonts w:ascii="Calibri" w:hAnsi="Calibr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107</w:t>
        </w:r>
        <w:r>
          <w:fldChar w:fldCharType="end"/>
        </w:r>
      </w:hyperlink>
    </w:p>
    <w:p>
      <w:pPr>
        <w:pStyle w:val="TOC3"/>
        <w:rPr>
          <w:rFonts w:ascii="Calibri" w:hAnsi="Calibr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108</w:t>
        </w:r>
        <w:r>
          <w:fldChar w:fldCharType="end"/>
        </w:r>
      </w:hyperlink>
    </w:p>
    <w:p>
      <w:pPr>
        <w:pStyle w:val="TOC3"/>
        <w:rPr>
          <w:rFonts w:ascii="Calibri" w:hAnsi="Calibr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108</w:t>
        </w:r>
        <w:r>
          <w:fldChar w:fldCharType="end"/>
        </w:r>
      </w:hyperlink>
    </w:p>
    <w:p>
      <w:pPr>
        <w:pStyle w:val="TOC3"/>
        <w:rPr>
          <w:rFonts w:ascii="Calibri" w:hAnsi="Calibr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109</w:t>
        </w:r>
        <w:r>
          <w:fldChar w:fldCharType="end"/>
        </w:r>
      </w:hyperlink>
    </w:p>
    <w:p>
      <w:pPr>
        <w:pStyle w:val="TOC3"/>
        <w:rPr>
          <w:rFonts w:ascii="Calibri" w:hAnsi="Calibr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110</w:t>
        </w:r>
        <w:r>
          <w:fldChar w:fldCharType="end"/>
        </w:r>
      </w:hyperlink>
    </w:p>
    <w:p>
      <w:pPr>
        <w:pStyle w:val="TOC3"/>
        <w:rPr>
          <w:rFonts w:ascii="Calibri" w:hAnsi="Calibr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110</w:t>
        </w:r>
        <w:r>
          <w:fldChar w:fldCharType="end"/>
        </w:r>
      </w:hyperlink>
    </w:p>
    <w:p>
      <w:pPr>
        <w:pStyle w:val="TOC3"/>
        <w:rPr>
          <w:rFonts w:ascii="Calibri" w:hAnsi="Calibr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110</w:t>
        </w:r>
        <w:r>
          <w:fldChar w:fldCharType="end"/>
        </w:r>
      </w:hyperlink>
    </w:p>
    <w:p>
      <w:pPr>
        <w:pStyle w:val="TOC3"/>
        <w:rPr>
          <w:rFonts w:ascii="Calibri" w:hAnsi="Calibr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111</w:t>
        </w:r>
        <w:r>
          <w:fldChar w:fldCharType="end"/>
        </w:r>
      </w:hyperlink>
    </w:p>
    <w:p>
      <w:pPr>
        <w:pStyle w:val="TOC3"/>
        <w:rPr>
          <w:rFonts w:ascii="Calibri" w:hAnsi="Calibr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112</w:t>
        </w:r>
        <w:r>
          <w:fldChar w:fldCharType="end"/>
        </w:r>
      </w:hyperlink>
    </w:p>
    <w:p>
      <w:pPr>
        <w:pStyle w:val="TOC3"/>
        <w:rPr>
          <w:rFonts w:ascii="Calibri" w:hAnsi="Calibr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113</w:t>
        </w:r>
        <w:r>
          <w:fldChar w:fldCharType="end"/>
        </w:r>
      </w:hyperlink>
    </w:p>
    <w:p>
      <w:pPr>
        <w:pStyle w:val="TOC3"/>
        <w:rPr>
          <w:rFonts w:ascii="Calibri" w:hAnsi="Calibr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113</w:t>
        </w:r>
        <w:r>
          <w:fldChar w:fldCharType="end"/>
        </w:r>
      </w:hyperlink>
    </w:p>
    <w:p>
      <w:pPr>
        <w:pStyle w:val="TOC3"/>
        <w:rPr>
          <w:rFonts w:ascii="Calibri" w:hAnsi="Calibr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114</w:t>
        </w:r>
        <w:r>
          <w:fldChar w:fldCharType="end"/>
        </w:r>
      </w:hyperlink>
    </w:p>
    <w:p>
      <w:pPr>
        <w:pStyle w:val="TOC3"/>
        <w:rPr>
          <w:rFonts w:ascii="Calibri" w:hAnsi="Calibr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114</w:t>
        </w:r>
        <w:r>
          <w:fldChar w:fldCharType="end"/>
        </w:r>
      </w:hyperlink>
    </w:p>
    <w:p>
      <w:pPr>
        <w:pStyle w:val="TOC3"/>
        <w:rPr>
          <w:rFonts w:ascii="Calibri" w:hAnsi="Calibr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115</w:t>
        </w:r>
        <w:r>
          <w:fldChar w:fldCharType="end"/>
        </w:r>
      </w:hyperlink>
    </w:p>
    <w:p>
      <w:pPr>
        <w:pStyle w:val="TOC3"/>
        <w:rPr>
          <w:rFonts w:ascii="Calibri" w:hAnsi="Calibr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115</w:t>
        </w:r>
        <w:r>
          <w:fldChar w:fldCharType="end"/>
        </w:r>
      </w:hyperlink>
    </w:p>
    <w:p>
      <w:pPr>
        <w:pStyle w:val="TOC3"/>
        <w:rPr>
          <w:rFonts w:ascii="Calibri" w:hAnsi="Calibr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116</w:t>
        </w:r>
        <w:r>
          <w:fldChar w:fldCharType="end"/>
        </w:r>
      </w:hyperlink>
    </w:p>
    <w:p>
      <w:pPr>
        <w:pStyle w:val="TOC1"/>
        <w:rPr>
          <w:rFonts w:ascii="Calibri" w:hAnsi="Calibr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118</w:t>
        </w:r>
        <w:r>
          <w:fldChar w:fldCharType="end"/>
        </w:r>
      </w:hyperlink>
    </w:p>
    <w:p>
      <w:pPr>
        <w:pStyle w:val="TOC2"/>
        <w:rPr>
          <w:rFonts w:ascii="Calibri" w:hAnsi="Calibr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118</w:t>
        </w:r>
        <w:r>
          <w:fldChar w:fldCharType="end"/>
        </w:r>
      </w:hyperlink>
    </w:p>
    <w:p>
      <w:pPr>
        <w:pStyle w:val="TOC2"/>
        <w:rPr>
          <w:rFonts w:ascii="Calibri" w:hAnsi="Calibr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124</w:t>
        </w:r>
        <w:r>
          <w:fldChar w:fldCharType="end"/>
        </w:r>
      </w:hyperlink>
    </w:p>
    <w:p>
      <w:pPr>
        <w:pStyle w:val="TOC3"/>
        <w:rPr>
          <w:rFonts w:ascii="Calibri" w:hAnsi="Calibr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124</w:t>
        </w:r>
        <w:r>
          <w:fldChar w:fldCharType="end"/>
        </w:r>
      </w:hyperlink>
    </w:p>
    <w:p>
      <w:pPr>
        <w:pStyle w:val="TOC3"/>
        <w:rPr>
          <w:rFonts w:ascii="Calibri" w:hAnsi="Calibr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125</w:t>
        </w:r>
        <w:r>
          <w:fldChar w:fldCharType="end"/>
        </w:r>
      </w:hyperlink>
    </w:p>
    <w:p>
      <w:pPr>
        <w:pStyle w:val="TOC3"/>
        <w:rPr>
          <w:rFonts w:ascii="Calibri" w:hAnsi="Calibr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127</w:t>
        </w:r>
        <w:r>
          <w:fldChar w:fldCharType="end"/>
        </w:r>
      </w:hyperlink>
    </w:p>
    <w:p>
      <w:pPr>
        <w:pStyle w:val="TOC3"/>
        <w:rPr>
          <w:rFonts w:ascii="Calibri" w:hAnsi="Calibr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129</w:t>
        </w:r>
        <w:r>
          <w:fldChar w:fldCharType="end"/>
        </w:r>
      </w:hyperlink>
    </w:p>
    <w:p>
      <w:pPr>
        <w:pStyle w:val="TOC3"/>
        <w:rPr>
          <w:rFonts w:ascii="Calibri" w:hAnsi="Calibr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133</w:t>
        </w:r>
        <w:r>
          <w:fldChar w:fldCharType="end"/>
        </w:r>
      </w:hyperlink>
    </w:p>
    <w:p>
      <w:pPr>
        <w:pStyle w:val="TOC3"/>
        <w:rPr>
          <w:rFonts w:ascii="Calibri" w:hAnsi="Calibr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137</w:t>
        </w:r>
        <w:r>
          <w:fldChar w:fldCharType="end"/>
        </w:r>
      </w:hyperlink>
    </w:p>
    <w:p>
      <w:pPr>
        <w:pStyle w:val="TOC2"/>
        <w:rPr>
          <w:rFonts w:ascii="Calibri" w:hAnsi="Calibr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140</w:t>
        </w:r>
        <w:r>
          <w:fldChar w:fldCharType="end"/>
        </w:r>
      </w:hyperlink>
    </w:p>
    <w:p>
      <w:pPr>
        <w:pStyle w:val="TOC2"/>
        <w:rPr>
          <w:rFonts w:ascii="Calibri" w:hAnsi="Calibr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143</w:t>
        </w:r>
        <w:r>
          <w:fldChar w:fldCharType="end"/>
        </w:r>
      </w:hyperlink>
    </w:p>
    <w:p>
      <w:pPr>
        <w:pStyle w:val="TOC2"/>
        <w:rPr>
          <w:rFonts w:ascii="Calibri" w:hAnsi="Calibr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146</w:t>
        </w:r>
        <w:r>
          <w:fldChar w:fldCharType="end"/>
        </w:r>
      </w:hyperlink>
    </w:p>
    <w:p>
      <w:pPr>
        <w:pStyle w:val="TOC1"/>
        <w:rPr>
          <w:rFonts w:ascii="Calibri" w:hAnsi="Calibr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150</w:t>
        </w:r>
        <w:r>
          <w:fldChar w:fldCharType="end"/>
        </w:r>
      </w:hyperlink>
    </w:p>
    <w:p>
      <w:pPr>
        <w:pStyle w:val="TOC2"/>
        <w:rPr>
          <w:rFonts w:ascii="Calibri" w:hAnsi="Calibr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150</w:t>
        </w:r>
        <w:r>
          <w:fldChar w:fldCharType="end"/>
        </w:r>
      </w:hyperlink>
    </w:p>
    <w:p>
      <w:pPr>
        <w:pStyle w:val="TOC2"/>
        <w:rPr>
          <w:rFonts w:ascii="Calibri" w:hAnsi="Calibr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151</w:t>
        </w:r>
        <w:r>
          <w:fldChar w:fldCharType="end"/>
        </w:r>
      </w:hyperlink>
    </w:p>
    <w:p>
      <w:pPr>
        <w:pStyle w:val="TOC3"/>
        <w:rPr>
          <w:rFonts w:ascii="Calibri" w:hAnsi="Calibr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177</w:t>
        </w:r>
        <w:r>
          <w:fldChar w:fldCharType="end"/>
        </w:r>
      </w:hyperlink>
    </w:p>
    <w:p>
      <w:pPr>
        <w:pStyle w:val="TOC3"/>
        <w:rPr>
          <w:rFonts w:ascii="Calibri" w:hAnsi="Calibr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180</w:t>
        </w:r>
        <w:r>
          <w:fldChar w:fldCharType="end"/>
        </w:r>
      </w:hyperlink>
    </w:p>
    <w:p>
      <w:pPr>
        <w:pStyle w:val="TOC1"/>
        <w:rPr>
          <w:rFonts w:ascii="Calibri" w:hAnsi="Calibr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184</w:t>
        </w:r>
        <w:r>
          <w:fldChar w:fldCharType="end"/>
        </w:r>
      </w:hyperlink>
    </w:p>
    <w:p>
      <w:pPr>
        <w:pStyle w:val="TOC2"/>
        <w:rPr>
          <w:rFonts w:ascii="Calibri" w:hAnsi="Calibr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184</w:t>
        </w:r>
        <w:r>
          <w:fldChar w:fldCharType="end"/>
        </w:r>
      </w:hyperlink>
    </w:p>
    <w:p>
      <w:pPr>
        <w:pStyle w:val="TOC3"/>
        <w:rPr>
          <w:rFonts w:ascii="Calibri" w:hAnsi="Calibr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188</w:t>
        </w:r>
        <w:r>
          <w:fldChar w:fldCharType="end"/>
        </w:r>
      </w:hyperlink>
    </w:p>
    <w:p>
      <w:pPr>
        <w:pStyle w:val="TOC3"/>
        <w:rPr>
          <w:rFonts w:ascii="Calibri" w:hAnsi="Calibr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188</w:t>
        </w:r>
        <w:r>
          <w:fldChar w:fldCharType="end"/>
        </w:r>
      </w:hyperlink>
    </w:p>
    <w:p>
      <w:pPr>
        <w:pStyle w:val="TOC3"/>
        <w:rPr>
          <w:rFonts w:ascii="Calibri" w:hAnsi="Calibr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189</w:t>
        </w:r>
        <w:r>
          <w:fldChar w:fldCharType="end"/>
        </w:r>
      </w:hyperlink>
    </w:p>
    <w:p>
      <w:pPr>
        <w:pStyle w:val="TOC3"/>
        <w:rPr>
          <w:rFonts w:ascii="Calibri" w:hAnsi="Calibr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189</w:t>
        </w:r>
        <w:r>
          <w:fldChar w:fldCharType="end"/>
        </w:r>
      </w:hyperlink>
    </w:p>
    <w:p>
      <w:pPr>
        <w:pStyle w:val="TOC3"/>
        <w:rPr>
          <w:rFonts w:ascii="Calibri" w:hAnsi="Calibr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190</w:t>
        </w:r>
        <w:r>
          <w:fldChar w:fldCharType="end"/>
        </w:r>
      </w:hyperlink>
    </w:p>
    <w:p>
      <w:pPr>
        <w:pStyle w:val="TOC2"/>
        <w:rPr>
          <w:rFonts w:ascii="Calibri" w:hAnsi="Calibr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192</w:t>
        </w:r>
        <w:r>
          <w:fldChar w:fldCharType="end"/>
        </w:r>
      </w:hyperlink>
    </w:p>
    <w:p>
      <w:pPr>
        <w:pStyle w:val="TOC3"/>
        <w:rPr>
          <w:rFonts w:ascii="Calibri" w:hAnsi="Calibr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192</w:t>
        </w:r>
        <w:r>
          <w:fldChar w:fldCharType="end"/>
        </w:r>
      </w:hyperlink>
    </w:p>
    <w:p>
      <w:pPr>
        <w:pStyle w:val="TOC2"/>
        <w:rPr>
          <w:rFonts w:ascii="Calibri" w:hAnsi="Calibr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193</w:t>
        </w:r>
        <w:r>
          <w:fldChar w:fldCharType="end"/>
        </w:r>
      </w:hyperlink>
    </w:p>
    <w:p>
      <w:pPr>
        <w:pStyle w:val="TOC1"/>
        <w:rPr>
          <w:rFonts w:ascii="Calibri" w:hAnsi="Calibr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194</w:t>
        </w:r>
        <w:r>
          <w:fldChar w:fldCharType="end"/>
        </w:r>
      </w:hyperlink>
    </w:p>
    <w:p>
      <w:pPr>
        <w:pStyle w:val="TOC2"/>
        <w:rPr>
          <w:rFonts w:ascii="Calibri" w:hAnsi="Calibr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194</w:t>
        </w:r>
        <w:r>
          <w:fldChar w:fldCharType="end"/>
        </w:r>
      </w:hyperlink>
    </w:p>
    <w:p>
      <w:pPr>
        <w:pStyle w:val="TOC2"/>
        <w:rPr>
          <w:rFonts w:ascii="Calibri" w:hAnsi="Calibr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208</w:t>
        </w:r>
        <w:r>
          <w:fldChar w:fldCharType="end"/>
        </w:r>
      </w:hyperlink>
    </w:p>
    <w:p>
      <w:pPr>
        <w:pStyle w:val="TOC3"/>
        <w:rPr>
          <w:rFonts w:ascii="Calibri" w:hAnsi="Calibr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208</w:t>
        </w:r>
        <w:r>
          <w:fldChar w:fldCharType="end"/>
        </w:r>
      </w:hyperlink>
    </w:p>
    <w:p>
      <w:pPr>
        <w:pStyle w:val="TOC3"/>
        <w:rPr>
          <w:rFonts w:ascii="Calibri" w:hAnsi="Calibr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228</w:t>
        </w:r>
        <w:r>
          <w:fldChar w:fldCharType="end"/>
        </w:r>
      </w:hyperlink>
    </w:p>
    <w:p>
      <w:pPr>
        <w:pStyle w:val="TOC3"/>
        <w:rPr>
          <w:rFonts w:ascii="Calibri" w:hAnsi="Calibr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256</w:t>
        </w:r>
        <w:r>
          <w:fldChar w:fldCharType="end"/>
        </w:r>
      </w:hyperlink>
    </w:p>
    <w:p>
      <w:pPr>
        <w:pStyle w:val="TOC3"/>
        <w:rPr>
          <w:rFonts w:ascii="Calibri" w:hAnsi="Calibr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332</w:t>
        </w:r>
        <w:r>
          <w:fldChar w:fldCharType="end"/>
        </w:r>
      </w:hyperlink>
    </w:p>
    <w:p>
      <w:pPr>
        <w:pStyle w:val="TOC3"/>
        <w:rPr>
          <w:rFonts w:ascii="Calibri" w:hAnsi="Calibr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347</w:t>
        </w:r>
        <w:r>
          <w:fldChar w:fldCharType="end"/>
        </w:r>
      </w:hyperlink>
    </w:p>
    <w:p>
      <w:pPr>
        <w:pStyle w:val="TOC3"/>
        <w:rPr>
          <w:rFonts w:ascii="Calibri" w:hAnsi="Calibr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394</w:t>
        </w:r>
        <w:r>
          <w:fldChar w:fldCharType="end"/>
        </w:r>
      </w:hyperlink>
    </w:p>
    <w:p>
      <w:pPr>
        <w:pStyle w:val="TOC3"/>
        <w:rPr>
          <w:rFonts w:ascii="Calibri" w:hAnsi="Calibr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428</w:t>
        </w:r>
        <w:r>
          <w:fldChar w:fldCharType="end"/>
        </w:r>
      </w:hyperlink>
    </w:p>
    <w:p>
      <w:pPr>
        <w:pStyle w:val="TOC3"/>
        <w:rPr>
          <w:rFonts w:ascii="Calibri" w:hAnsi="Calibr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471</w:t>
        </w:r>
        <w:r>
          <w:fldChar w:fldCharType="end"/>
        </w:r>
      </w:hyperlink>
    </w:p>
    <w:p>
      <w:pPr>
        <w:pStyle w:val="TOC3"/>
        <w:rPr>
          <w:rFonts w:ascii="Calibri" w:hAnsi="Calibr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484</w:t>
        </w:r>
        <w:r>
          <w:fldChar w:fldCharType="end"/>
        </w:r>
      </w:hyperlink>
    </w:p>
    <w:p>
      <w:pPr>
        <w:pStyle w:val="TOC3"/>
        <w:rPr>
          <w:rFonts w:ascii="Calibri" w:hAnsi="Calibr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534</w:t>
        </w:r>
        <w:r>
          <w:fldChar w:fldCharType="end"/>
        </w:r>
      </w:hyperlink>
    </w:p>
    <w:p>
      <w:pPr>
        <w:pStyle w:val="TOC3"/>
        <w:rPr>
          <w:rFonts w:ascii="Calibri" w:hAnsi="Calibr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560</w:t>
        </w:r>
        <w:r>
          <w:fldChar w:fldCharType="end"/>
        </w:r>
      </w:hyperlink>
    </w:p>
    <w:p>
      <w:pPr>
        <w:pStyle w:val="TOC3"/>
        <w:rPr>
          <w:rFonts w:ascii="Calibri" w:hAnsi="Calibr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580</w:t>
        </w:r>
        <w:r>
          <w:fldChar w:fldCharType="end"/>
        </w:r>
      </w:hyperlink>
    </w:p>
    <w:p>
      <w:pPr>
        <w:pStyle w:val="TOC3"/>
        <w:rPr>
          <w:rFonts w:ascii="Calibri" w:hAnsi="Calibr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604</w:t>
        </w:r>
        <w:r>
          <w:fldChar w:fldCharType="end"/>
        </w:r>
      </w:hyperlink>
    </w:p>
    <w:p>
      <w:pPr>
        <w:pStyle w:val="TOC3"/>
        <w:rPr>
          <w:rFonts w:ascii="Calibri" w:hAnsi="Calibr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619</w:t>
        </w:r>
        <w:r>
          <w:fldChar w:fldCharType="end"/>
        </w:r>
      </w:hyperlink>
    </w:p>
    <w:p>
      <w:pPr>
        <w:pStyle w:val="TOC3"/>
        <w:rPr>
          <w:rFonts w:ascii="Calibri" w:hAnsi="Calibr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642</w:t>
        </w:r>
        <w:r>
          <w:fldChar w:fldCharType="end"/>
        </w:r>
      </w:hyperlink>
    </w:p>
    <w:p>
      <w:pPr>
        <w:pStyle w:val="TOC3"/>
        <w:rPr>
          <w:rFonts w:ascii="Calibri" w:hAnsi="Calibri"/>
          <w:noProof/>
          <w:sz w:val="22"/>
        </w:rPr>
      </w:pPr>
      <w:hyperlink w:anchor="_Toc256000133" w:history="1">
        <w:r>
          <w:rPr>
            <w:rStyle w:val="Hyperlink"/>
          </w:rPr>
          <w:t>8.2.16.</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_Toc256000133 \h </w:instrText>
        </w:r>
        <w:r>
          <w:fldChar w:fldCharType="separate"/>
        </w:r>
        <w:r>
          <w:t>685</w:t>
        </w:r>
        <w:r>
          <w:fldChar w:fldCharType="end"/>
        </w:r>
      </w:hyperlink>
    </w:p>
    <w:p>
      <w:pPr>
        <w:pStyle w:val="TOC3"/>
        <w:rPr>
          <w:rFonts w:ascii="Calibri" w:hAnsi="Calibri"/>
          <w:noProof/>
          <w:sz w:val="22"/>
        </w:rPr>
      </w:pPr>
      <w:hyperlink w:anchor="_Toc256000134" w:history="1">
        <w:r>
          <w:rPr>
            <w:rStyle w:val="Hyperlink"/>
          </w:rPr>
          <w:t>8.2.17.</w:t>
        </w:r>
        <w:r>
          <w:rPr>
            <w:rStyle w:val="Hyperlink"/>
          </w:rPr>
          <w:t xml:space="preserve"> </w:t>
        </w:r>
        <w:r>
          <w:rPr>
            <w:rStyle w:val="Hyperlink"/>
          </w:rPr>
          <w:t>M22 - Exceptional temporary support to farmers and SMEs particularly affected by the impact of Russia's invasion of Ukraine (art 39b)</w:t>
        </w:r>
        <w:r>
          <w:tab/>
        </w:r>
        <w:r>
          <w:fldChar w:fldCharType="begin"/>
        </w:r>
        <w:r>
          <w:instrText xml:space="preserve"> PAGEREF _Toc256000134 \h </w:instrText>
        </w:r>
        <w:r>
          <w:fldChar w:fldCharType="separate"/>
        </w:r>
        <w:r>
          <w:t>717</w:t>
        </w:r>
        <w:r>
          <w:fldChar w:fldCharType="end"/>
        </w:r>
      </w:hyperlink>
    </w:p>
    <w:p>
      <w:pPr>
        <w:pStyle w:val="TOC1"/>
        <w:rPr>
          <w:rFonts w:ascii="Calibri" w:hAnsi="Calibri"/>
          <w:noProof/>
          <w:sz w:val="22"/>
        </w:rPr>
      </w:pPr>
      <w:hyperlink w:anchor="_Toc256000135"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_Toc256000135 \h </w:instrText>
        </w:r>
        <w:r>
          <w:fldChar w:fldCharType="separate"/>
        </w:r>
        <w:r>
          <w:t>728</w:t>
        </w:r>
        <w:r>
          <w:fldChar w:fldCharType="end"/>
        </w:r>
      </w:hyperlink>
    </w:p>
    <w:p>
      <w:pPr>
        <w:pStyle w:val="TOC2"/>
        <w:rPr>
          <w:rFonts w:ascii="Calibri" w:hAnsi="Calibri"/>
          <w:noProof/>
          <w:sz w:val="22"/>
        </w:rPr>
      </w:pPr>
      <w:hyperlink w:anchor="_Toc256000136" w:history="1">
        <w:r>
          <w:rPr>
            <w:rStyle w:val="Hyperlink"/>
          </w:rPr>
          <w:t>9.1.</w:t>
        </w:r>
        <w:r>
          <w:rPr>
            <w:rStyle w:val="Hyperlink"/>
          </w:rPr>
          <w:t xml:space="preserve"> </w:t>
        </w:r>
        <w:r>
          <w:rPr>
            <w:rStyle w:val="Hyperlink"/>
          </w:rPr>
          <w:t>Цели и задачи</w:t>
        </w:r>
        <w:r>
          <w:tab/>
        </w:r>
        <w:r>
          <w:fldChar w:fldCharType="begin"/>
        </w:r>
        <w:r>
          <w:instrText xml:space="preserve"> PAGEREF _Toc256000136 \h </w:instrText>
        </w:r>
        <w:r>
          <w:fldChar w:fldCharType="separate"/>
        </w:r>
        <w:r>
          <w:t>728</w:t>
        </w:r>
        <w:r>
          <w:fldChar w:fldCharType="end"/>
        </w:r>
      </w:hyperlink>
    </w:p>
    <w:p>
      <w:pPr>
        <w:pStyle w:val="TOC2"/>
        <w:rPr>
          <w:rFonts w:ascii="Calibri" w:hAnsi="Calibri"/>
          <w:noProof/>
          <w:sz w:val="22"/>
        </w:rPr>
      </w:pPr>
      <w:hyperlink w:anchor="_Toc256000137"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_Toc256000137 \h </w:instrText>
        </w:r>
        <w:r>
          <w:fldChar w:fldCharType="separate"/>
        </w:r>
        <w:r>
          <w:t>729</w:t>
        </w:r>
        <w:r>
          <w:fldChar w:fldCharType="end"/>
        </w:r>
      </w:hyperlink>
    </w:p>
    <w:p>
      <w:pPr>
        <w:pStyle w:val="TOC2"/>
        <w:rPr>
          <w:rFonts w:ascii="Calibri" w:hAnsi="Calibri"/>
          <w:noProof/>
          <w:sz w:val="22"/>
        </w:rPr>
      </w:pPr>
      <w:hyperlink w:anchor="_Toc256000138"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_Toc256000138 \h </w:instrText>
        </w:r>
        <w:r>
          <w:fldChar w:fldCharType="separate"/>
        </w:r>
        <w:r>
          <w:t>731</w:t>
        </w:r>
        <w:r>
          <w:fldChar w:fldCharType="end"/>
        </w:r>
      </w:hyperlink>
    </w:p>
    <w:p>
      <w:pPr>
        <w:pStyle w:val="TOC2"/>
        <w:rPr>
          <w:rFonts w:ascii="Calibri" w:hAnsi="Calibri"/>
          <w:noProof/>
          <w:sz w:val="22"/>
        </w:rPr>
      </w:pPr>
      <w:hyperlink w:anchor="_Toc256000139"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_Toc256000139 \h </w:instrText>
        </w:r>
        <w:r>
          <w:fldChar w:fldCharType="separate"/>
        </w:r>
        <w:r>
          <w:t>735</w:t>
        </w:r>
        <w:r>
          <w:fldChar w:fldCharType="end"/>
        </w:r>
      </w:hyperlink>
    </w:p>
    <w:p>
      <w:pPr>
        <w:pStyle w:val="TOC2"/>
        <w:rPr>
          <w:rFonts w:ascii="Calibri" w:hAnsi="Calibri"/>
          <w:noProof/>
          <w:sz w:val="22"/>
        </w:rPr>
      </w:pPr>
      <w:hyperlink w:anchor="_Toc256000140" w:history="1">
        <w:r>
          <w:rPr>
            <w:rStyle w:val="Hyperlink"/>
          </w:rPr>
          <w:t>9.5.</w:t>
        </w:r>
        <w:r>
          <w:rPr>
            <w:rStyle w:val="Hyperlink"/>
          </w:rPr>
          <w:t xml:space="preserve"> </w:t>
        </w:r>
        <w:r>
          <w:rPr>
            <w:rStyle w:val="Hyperlink"/>
          </w:rPr>
          <w:t>График</w:t>
        </w:r>
        <w:r>
          <w:tab/>
        </w:r>
        <w:r>
          <w:fldChar w:fldCharType="begin"/>
        </w:r>
        <w:r>
          <w:instrText xml:space="preserve"> PAGEREF _Toc256000140 \h </w:instrText>
        </w:r>
        <w:r>
          <w:fldChar w:fldCharType="separate"/>
        </w:r>
        <w:r>
          <w:t>737</w:t>
        </w:r>
        <w:r>
          <w:fldChar w:fldCharType="end"/>
        </w:r>
      </w:hyperlink>
    </w:p>
    <w:p>
      <w:pPr>
        <w:pStyle w:val="TOC2"/>
        <w:rPr>
          <w:rFonts w:ascii="Calibri" w:hAnsi="Calibri"/>
          <w:noProof/>
          <w:sz w:val="22"/>
        </w:rPr>
      </w:pPr>
      <w:hyperlink w:anchor="_Toc256000141" w:history="1">
        <w:r>
          <w:rPr>
            <w:rStyle w:val="Hyperlink"/>
          </w:rPr>
          <w:t>9.6.</w:t>
        </w:r>
        <w:r>
          <w:rPr>
            <w:rStyle w:val="Hyperlink"/>
          </w:rPr>
          <w:t xml:space="preserve"> </w:t>
        </w:r>
        <w:r>
          <w:rPr>
            <w:rStyle w:val="Hyperlink"/>
          </w:rPr>
          <w:t>Комуникация</w:t>
        </w:r>
        <w:r>
          <w:tab/>
        </w:r>
        <w:r>
          <w:fldChar w:fldCharType="begin"/>
        </w:r>
        <w:r>
          <w:instrText xml:space="preserve"> PAGEREF _Toc256000141 \h </w:instrText>
        </w:r>
        <w:r>
          <w:fldChar w:fldCharType="separate"/>
        </w:r>
        <w:r>
          <w:t>738</w:t>
        </w:r>
        <w:r>
          <w:fldChar w:fldCharType="end"/>
        </w:r>
      </w:hyperlink>
    </w:p>
    <w:p>
      <w:pPr>
        <w:pStyle w:val="TOC2"/>
        <w:rPr>
          <w:rFonts w:ascii="Calibri" w:hAnsi="Calibri"/>
          <w:noProof/>
          <w:sz w:val="22"/>
        </w:rPr>
      </w:pPr>
      <w:hyperlink w:anchor="_Toc256000142" w:history="1">
        <w:r>
          <w:rPr>
            <w:rStyle w:val="Hyperlink"/>
          </w:rPr>
          <w:t>9.7.</w:t>
        </w:r>
        <w:r>
          <w:rPr>
            <w:rStyle w:val="Hyperlink"/>
          </w:rPr>
          <w:t xml:space="preserve"> </w:t>
        </w:r>
        <w:r>
          <w:rPr>
            <w:rStyle w:val="Hyperlink"/>
          </w:rPr>
          <w:t>Ресурси</w:t>
        </w:r>
        <w:r>
          <w:tab/>
        </w:r>
        <w:r>
          <w:fldChar w:fldCharType="begin"/>
        </w:r>
        <w:r>
          <w:instrText xml:space="preserve"> PAGEREF _Toc256000142 \h </w:instrText>
        </w:r>
        <w:r>
          <w:fldChar w:fldCharType="separate"/>
        </w:r>
        <w:r>
          <w:t>739</w:t>
        </w:r>
        <w:r>
          <w:fldChar w:fldCharType="end"/>
        </w:r>
      </w:hyperlink>
    </w:p>
    <w:p>
      <w:pPr>
        <w:pStyle w:val="TOC1"/>
        <w:rPr>
          <w:rFonts w:ascii="Calibri" w:hAnsi="Calibri"/>
          <w:noProof/>
          <w:sz w:val="22"/>
        </w:rPr>
      </w:pPr>
      <w:hyperlink w:anchor="_Toc256000143"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_Toc256000143 \h </w:instrText>
        </w:r>
        <w:r>
          <w:fldChar w:fldCharType="separate"/>
        </w:r>
        <w:r>
          <w:t>741</w:t>
        </w:r>
        <w:r>
          <w:fldChar w:fldCharType="end"/>
        </w:r>
      </w:hyperlink>
    </w:p>
    <w:p>
      <w:pPr>
        <w:pStyle w:val="TOC2"/>
        <w:rPr>
          <w:rFonts w:ascii="Calibri" w:hAnsi="Calibri"/>
          <w:noProof/>
          <w:sz w:val="22"/>
        </w:rPr>
      </w:pPr>
      <w:hyperlink w:anchor="_Toc256000144"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_Toc256000144 \h </w:instrText>
        </w:r>
        <w:r>
          <w:fldChar w:fldCharType="separate"/>
        </w:r>
        <w:r>
          <w:t>741</w:t>
        </w:r>
        <w:r>
          <w:fldChar w:fldCharType="end"/>
        </w:r>
      </w:hyperlink>
    </w:p>
    <w:p>
      <w:pPr>
        <w:pStyle w:val="TOC2"/>
        <w:rPr>
          <w:rFonts w:ascii="Calibri" w:hAnsi="Calibri"/>
          <w:noProof/>
          <w:sz w:val="22"/>
        </w:rPr>
      </w:pPr>
      <w:hyperlink w:anchor="_Toc256000145"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_Toc256000145 \h </w:instrText>
        </w:r>
        <w:r>
          <w:fldChar w:fldCharType="separate"/>
        </w:r>
        <w:r>
          <w:t>743</w:t>
        </w:r>
        <w:r>
          <w:fldChar w:fldCharType="end"/>
        </w:r>
      </w:hyperlink>
    </w:p>
    <w:p>
      <w:pPr>
        <w:pStyle w:val="TOC2"/>
        <w:rPr>
          <w:rFonts w:ascii="Calibri" w:hAnsi="Calibri"/>
          <w:noProof/>
          <w:sz w:val="22"/>
        </w:rPr>
      </w:pPr>
      <w:hyperlink w:anchor="_Toc256000146" w:history="1">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2022 г.)</w:t>
        </w:r>
        <w:r>
          <w:tab/>
        </w:r>
        <w:r>
          <w:fldChar w:fldCharType="begin"/>
        </w:r>
        <w:r>
          <w:instrText xml:space="preserve"> PAGEREF _Toc256000146 \h </w:instrText>
        </w:r>
        <w:r>
          <w:fldChar w:fldCharType="separate"/>
        </w:r>
        <w:r>
          <w:t>744</w:t>
        </w:r>
        <w:r>
          <w:fldChar w:fldCharType="end"/>
        </w:r>
      </w:hyperlink>
    </w:p>
    <w:p>
      <w:pPr>
        <w:pStyle w:val="TOC3"/>
        <w:rPr>
          <w:rFonts w:ascii="Calibri" w:hAnsi="Calibri"/>
          <w:noProof/>
          <w:sz w:val="22"/>
        </w:rPr>
      </w:pPr>
      <w:hyperlink w:anchor="_Toc256000147"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_Toc256000147 \h </w:instrText>
        </w:r>
        <w:r>
          <w:fldChar w:fldCharType="separate"/>
        </w:r>
        <w:r>
          <w:t>744</w:t>
        </w:r>
        <w:r>
          <w:fldChar w:fldCharType="end"/>
        </w:r>
      </w:hyperlink>
    </w:p>
    <w:p>
      <w:pPr>
        <w:pStyle w:val="TOC3"/>
        <w:rPr>
          <w:rFonts w:ascii="Calibri" w:hAnsi="Calibri"/>
          <w:noProof/>
          <w:sz w:val="22"/>
        </w:rPr>
      </w:pPr>
      <w:hyperlink w:anchor="_Toc256000148"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_Toc256000148 \h </w:instrText>
        </w:r>
        <w:r>
          <w:fldChar w:fldCharType="separate"/>
        </w:r>
        <w:r>
          <w:t>746</w:t>
        </w:r>
        <w:r>
          <w:fldChar w:fldCharType="end"/>
        </w:r>
      </w:hyperlink>
    </w:p>
    <w:p>
      <w:pPr>
        <w:pStyle w:val="TOC3"/>
        <w:rPr>
          <w:rFonts w:ascii="Calibri" w:hAnsi="Calibri"/>
          <w:noProof/>
          <w:sz w:val="22"/>
        </w:rPr>
      </w:pPr>
      <w:hyperlink w:anchor="_Toc256000149"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_Toc256000149 \h </w:instrText>
        </w:r>
        <w:r>
          <w:fldChar w:fldCharType="separate"/>
        </w:r>
        <w:r>
          <w:t>748</w:t>
        </w:r>
        <w:r>
          <w:fldChar w:fldCharType="end"/>
        </w:r>
      </w:hyperlink>
    </w:p>
    <w:p>
      <w:pPr>
        <w:pStyle w:val="TOC3"/>
        <w:rPr>
          <w:rFonts w:ascii="Calibri" w:hAnsi="Calibri"/>
          <w:noProof/>
          <w:sz w:val="22"/>
        </w:rPr>
      </w:pPr>
      <w:hyperlink w:anchor="_Toc256000150"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_Toc256000150 \h </w:instrText>
        </w:r>
        <w:r>
          <w:fldChar w:fldCharType="separate"/>
        </w:r>
        <w:r>
          <w:t>751</w:t>
        </w:r>
        <w:r>
          <w:fldChar w:fldCharType="end"/>
        </w:r>
      </w:hyperlink>
    </w:p>
    <w:p>
      <w:pPr>
        <w:pStyle w:val="TOC3"/>
        <w:rPr>
          <w:rFonts w:ascii="Calibri" w:hAnsi="Calibri"/>
          <w:noProof/>
          <w:sz w:val="22"/>
        </w:rPr>
      </w:pPr>
      <w:hyperlink w:anchor="_Toc256000151"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_Toc256000151 \h </w:instrText>
        </w:r>
        <w:r>
          <w:fldChar w:fldCharType="separate"/>
        </w:r>
        <w:r>
          <w:t>752</w:t>
        </w:r>
        <w:r>
          <w:fldChar w:fldCharType="end"/>
        </w:r>
      </w:hyperlink>
    </w:p>
    <w:p>
      <w:pPr>
        <w:pStyle w:val="TOC3"/>
        <w:rPr>
          <w:rFonts w:ascii="Calibri" w:hAnsi="Calibri"/>
          <w:noProof/>
          <w:sz w:val="22"/>
        </w:rPr>
      </w:pPr>
      <w:hyperlink w:anchor="_Toc256000152"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_Toc256000152 \h </w:instrText>
        </w:r>
        <w:r>
          <w:fldChar w:fldCharType="separate"/>
        </w:r>
        <w:r>
          <w:t>754</w:t>
        </w:r>
        <w:r>
          <w:fldChar w:fldCharType="end"/>
        </w:r>
      </w:hyperlink>
    </w:p>
    <w:p>
      <w:pPr>
        <w:pStyle w:val="TOC3"/>
        <w:rPr>
          <w:rFonts w:ascii="Calibri" w:hAnsi="Calibri"/>
          <w:noProof/>
          <w:sz w:val="22"/>
        </w:rPr>
      </w:pPr>
      <w:hyperlink w:anchor="_Toc256000153"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_Toc256000153 \h </w:instrText>
        </w:r>
        <w:r>
          <w:fldChar w:fldCharType="separate"/>
        </w:r>
        <w:r>
          <w:t>755</w:t>
        </w:r>
        <w:r>
          <w:fldChar w:fldCharType="end"/>
        </w:r>
      </w:hyperlink>
    </w:p>
    <w:p>
      <w:pPr>
        <w:pStyle w:val="TOC3"/>
        <w:rPr>
          <w:rFonts w:ascii="Calibri" w:hAnsi="Calibri"/>
          <w:noProof/>
          <w:sz w:val="22"/>
        </w:rPr>
      </w:pPr>
      <w:hyperlink w:anchor="_Toc256000154"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_Toc256000154 \h </w:instrText>
        </w:r>
        <w:r>
          <w:fldChar w:fldCharType="separate"/>
        </w:r>
        <w:r>
          <w:t>757</w:t>
        </w:r>
        <w:r>
          <w:fldChar w:fldCharType="end"/>
        </w:r>
      </w:hyperlink>
    </w:p>
    <w:p>
      <w:pPr>
        <w:pStyle w:val="TOC3"/>
        <w:rPr>
          <w:rFonts w:ascii="Calibri" w:hAnsi="Calibri"/>
          <w:noProof/>
          <w:sz w:val="22"/>
        </w:rPr>
      </w:pPr>
      <w:hyperlink w:anchor="_Toc256000155"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_Toc256000155 \h </w:instrText>
        </w:r>
        <w:r>
          <w:fldChar w:fldCharType="separate"/>
        </w:r>
        <w:r>
          <w:t>759</w:t>
        </w:r>
        <w:r>
          <w:fldChar w:fldCharType="end"/>
        </w:r>
      </w:hyperlink>
    </w:p>
    <w:p>
      <w:pPr>
        <w:pStyle w:val="TOC3"/>
        <w:rPr>
          <w:rFonts w:ascii="Calibri" w:hAnsi="Calibri"/>
          <w:noProof/>
          <w:sz w:val="22"/>
        </w:rPr>
      </w:pPr>
      <w:hyperlink w:anchor="_Toc256000156"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_Toc256000156 \h </w:instrText>
        </w:r>
        <w:r>
          <w:fldChar w:fldCharType="separate"/>
        </w:r>
        <w:r>
          <w:t>761</w:t>
        </w:r>
        <w:r>
          <w:fldChar w:fldCharType="end"/>
        </w:r>
      </w:hyperlink>
    </w:p>
    <w:p>
      <w:pPr>
        <w:pStyle w:val="TOC3"/>
        <w:rPr>
          <w:rFonts w:ascii="Calibri" w:hAnsi="Calibri"/>
          <w:noProof/>
          <w:sz w:val="22"/>
        </w:rPr>
      </w:pPr>
      <w:hyperlink w:anchor="_Toc256000157"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_Toc256000157 \h </w:instrText>
        </w:r>
        <w:r>
          <w:fldChar w:fldCharType="separate"/>
        </w:r>
        <w:r>
          <w:t>763</w:t>
        </w:r>
        <w:r>
          <w:fldChar w:fldCharType="end"/>
        </w:r>
      </w:hyperlink>
    </w:p>
    <w:p>
      <w:pPr>
        <w:pStyle w:val="TOC3"/>
        <w:rPr>
          <w:rFonts w:ascii="Calibri" w:hAnsi="Calibri"/>
          <w:noProof/>
          <w:sz w:val="22"/>
        </w:rPr>
      </w:pPr>
      <w:hyperlink w:anchor="_Toc256000158"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_Toc256000158 \h </w:instrText>
        </w:r>
        <w:r>
          <w:fldChar w:fldCharType="separate"/>
        </w:r>
        <w:r>
          <w:t>765</w:t>
        </w:r>
        <w:r>
          <w:fldChar w:fldCharType="end"/>
        </w:r>
      </w:hyperlink>
    </w:p>
    <w:p>
      <w:pPr>
        <w:pStyle w:val="TOC3"/>
        <w:rPr>
          <w:rFonts w:ascii="Calibri" w:hAnsi="Calibri"/>
          <w:noProof/>
          <w:sz w:val="22"/>
        </w:rPr>
      </w:pPr>
      <w:hyperlink w:anchor="_Toc256000159"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_Toc256000159 \h </w:instrText>
        </w:r>
        <w:r>
          <w:fldChar w:fldCharType="separate"/>
        </w:r>
        <w:r>
          <w:t>767</w:t>
        </w:r>
        <w:r>
          <w:fldChar w:fldCharType="end"/>
        </w:r>
      </w:hyperlink>
    </w:p>
    <w:p>
      <w:pPr>
        <w:pStyle w:val="TOC3"/>
        <w:rPr>
          <w:rFonts w:ascii="Calibri" w:hAnsi="Calibri"/>
          <w:noProof/>
          <w:sz w:val="22"/>
        </w:rPr>
      </w:pPr>
      <w:hyperlink w:anchor="_Toc256000160"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_Toc256000160 \h </w:instrText>
        </w:r>
        <w:r>
          <w:fldChar w:fldCharType="separate"/>
        </w:r>
        <w:r>
          <w:t>768</w:t>
        </w:r>
        <w:r>
          <w:fldChar w:fldCharType="end"/>
        </w:r>
      </w:hyperlink>
    </w:p>
    <w:p>
      <w:pPr>
        <w:pStyle w:val="TOC3"/>
        <w:rPr>
          <w:rFonts w:ascii="Calibri" w:hAnsi="Calibri"/>
          <w:noProof/>
          <w:sz w:val="22"/>
        </w:rPr>
      </w:pPr>
      <w:hyperlink w:anchor="_Toc256000161"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_Toc256000161 \h </w:instrText>
        </w:r>
        <w:r>
          <w:fldChar w:fldCharType="separate"/>
        </w:r>
        <w:r>
          <w:t>770</w:t>
        </w:r>
        <w:r>
          <w:fldChar w:fldCharType="end"/>
        </w:r>
      </w:hyperlink>
    </w:p>
    <w:p>
      <w:pPr>
        <w:pStyle w:val="TOC3"/>
        <w:rPr>
          <w:rFonts w:ascii="Calibri" w:hAnsi="Calibri"/>
          <w:noProof/>
          <w:sz w:val="22"/>
        </w:rPr>
      </w:pPr>
      <w:hyperlink w:anchor="_Toc256000162"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_Toc256000162 \h </w:instrText>
        </w:r>
        <w:r>
          <w:fldChar w:fldCharType="separate"/>
        </w:r>
        <w:r>
          <w:t>772</w:t>
        </w:r>
        <w:r>
          <w:fldChar w:fldCharType="end"/>
        </w:r>
      </w:hyperlink>
    </w:p>
    <w:p>
      <w:pPr>
        <w:pStyle w:val="TOC3"/>
        <w:rPr>
          <w:rFonts w:ascii="Calibri" w:hAnsi="Calibri"/>
          <w:noProof/>
          <w:sz w:val="22"/>
        </w:rPr>
      </w:pPr>
      <w:hyperlink w:anchor="_Toc256000163" w:history="1">
        <w:r>
          <w:rPr>
            <w:rStyle w:val="Hyperlink"/>
          </w:rPr>
          <w:t>10.3.17.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_Toc256000163 \h </w:instrText>
        </w:r>
        <w:r>
          <w:fldChar w:fldCharType="separate"/>
        </w:r>
        <w:r>
          <w:t>773</w:t>
        </w:r>
        <w:r>
          <w:fldChar w:fldCharType="end"/>
        </w:r>
      </w:hyperlink>
    </w:p>
    <w:p>
      <w:pPr>
        <w:pStyle w:val="TOC3"/>
        <w:rPr>
          <w:rFonts w:ascii="Calibri" w:hAnsi="Calibri"/>
          <w:noProof/>
          <w:sz w:val="22"/>
        </w:rPr>
      </w:pPr>
      <w:hyperlink w:anchor="_Toc256000164" w:history="1">
        <w:r>
          <w:rPr>
            <w:rStyle w:val="Hyperlink"/>
          </w:rPr>
          <w:t>10.3.18.</w:t>
        </w:r>
        <w:r>
          <w:rPr>
            <w:rStyle w:val="Hyperlink"/>
          </w:rPr>
          <w:t xml:space="preserve"> </w:t>
        </w:r>
        <w:r>
          <w:rPr>
            <w:rStyle w:val="Hyperlink"/>
          </w:rPr>
          <w:t>M22 - Exceptional temporary support to farmers and SMEs particularly affected by the impact of Russia's invasion of Ukraine (art 39b)</w:t>
        </w:r>
        <w:r>
          <w:tab/>
        </w:r>
        <w:r>
          <w:fldChar w:fldCharType="begin"/>
        </w:r>
        <w:r>
          <w:instrText xml:space="preserve"> PAGEREF _Toc256000164 \h </w:instrText>
        </w:r>
        <w:r>
          <w:fldChar w:fldCharType="separate"/>
        </w:r>
        <w:r>
          <w:t>774</w:t>
        </w:r>
        <w:r>
          <w:fldChar w:fldCharType="end"/>
        </w:r>
      </w:hyperlink>
    </w:p>
    <w:p>
      <w:pPr>
        <w:pStyle w:val="TOC2"/>
        <w:rPr>
          <w:rFonts w:ascii="Calibri" w:hAnsi="Calibri"/>
          <w:noProof/>
          <w:sz w:val="22"/>
        </w:rPr>
      </w:pPr>
      <w:hyperlink w:anchor="_Toc256000165"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_Toc256000165 \h </w:instrText>
        </w:r>
        <w:r>
          <w:fldChar w:fldCharType="separate"/>
        </w:r>
        <w:r>
          <w:t>775</w:t>
        </w:r>
        <w:r>
          <w:fldChar w:fldCharType="end"/>
        </w:r>
      </w:hyperlink>
    </w:p>
    <w:p>
      <w:pPr>
        <w:pStyle w:val="TOC1"/>
        <w:rPr>
          <w:rFonts w:ascii="Calibri" w:hAnsi="Calibri"/>
          <w:noProof/>
          <w:sz w:val="22"/>
        </w:rPr>
      </w:pPr>
      <w:hyperlink w:anchor="_Toc256000166"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_Toc256000166 \h </w:instrText>
        </w:r>
        <w:r>
          <w:fldChar w:fldCharType="separate"/>
        </w:r>
        <w:r>
          <w:t>777</w:t>
        </w:r>
        <w:r>
          <w:fldChar w:fldCharType="end"/>
        </w:r>
      </w:hyperlink>
    </w:p>
    <w:p>
      <w:pPr>
        <w:pStyle w:val="TOC2"/>
        <w:rPr>
          <w:rFonts w:ascii="Calibri" w:hAnsi="Calibri"/>
          <w:noProof/>
          <w:sz w:val="22"/>
        </w:rPr>
      </w:pPr>
      <w:hyperlink w:anchor="_Toc256000167"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_Toc256000167 \h </w:instrText>
        </w:r>
        <w:r>
          <w:fldChar w:fldCharType="separate"/>
        </w:r>
        <w:r>
          <w:t>777</w:t>
        </w:r>
        <w:r>
          <w:fldChar w:fldCharType="end"/>
        </w:r>
      </w:hyperlink>
    </w:p>
    <w:p>
      <w:pPr>
        <w:pStyle w:val="TOC3"/>
        <w:rPr>
          <w:rFonts w:ascii="Calibri" w:hAnsi="Calibri"/>
          <w:noProof/>
          <w:sz w:val="22"/>
        </w:rPr>
      </w:pPr>
      <w:hyperlink w:anchor="_Toc256000168"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_Toc256000168 \h </w:instrText>
        </w:r>
        <w:r>
          <w:fldChar w:fldCharType="separate"/>
        </w:r>
        <w:r>
          <w:t>777</w:t>
        </w:r>
        <w:r>
          <w:fldChar w:fldCharType="end"/>
        </w:r>
      </w:hyperlink>
    </w:p>
    <w:p>
      <w:pPr>
        <w:pStyle w:val="TOC3"/>
        <w:rPr>
          <w:rFonts w:ascii="Calibri" w:hAnsi="Calibri"/>
          <w:noProof/>
          <w:sz w:val="22"/>
        </w:rPr>
      </w:pPr>
      <w:hyperlink w:anchor="_Toc256000169"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_Toc256000169 \h </w:instrText>
        </w:r>
        <w:r>
          <w:fldChar w:fldCharType="separate"/>
        </w:r>
        <w:r>
          <w:t>780</w:t>
        </w:r>
        <w:r>
          <w:fldChar w:fldCharType="end"/>
        </w:r>
      </w:hyperlink>
    </w:p>
    <w:p>
      <w:pPr>
        <w:pStyle w:val="TOC3"/>
        <w:rPr>
          <w:rFonts w:ascii="Calibri" w:hAnsi="Calibri"/>
          <w:noProof/>
          <w:sz w:val="22"/>
        </w:rPr>
      </w:pPr>
      <w:hyperlink w:anchor="_Toc256000170"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_Toc256000170 \h </w:instrText>
        </w:r>
        <w:r>
          <w:fldChar w:fldCharType="separate"/>
        </w:r>
        <w:r>
          <w:t>785</w:t>
        </w:r>
        <w:r>
          <w:fldChar w:fldCharType="end"/>
        </w:r>
      </w:hyperlink>
    </w:p>
    <w:p>
      <w:pPr>
        <w:pStyle w:val="TOC3"/>
        <w:rPr>
          <w:rFonts w:ascii="Calibri" w:hAnsi="Calibri"/>
          <w:noProof/>
          <w:sz w:val="22"/>
        </w:rPr>
      </w:pPr>
      <w:hyperlink w:anchor="_Toc256000171"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_Toc256000171 \h </w:instrText>
        </w:r>
        <w:r>
          <w:fldChar w:fldCharType="separate"/>
        </w:r>
        <w:r>
          <w:t>789</w:t>
        </w:r>
        <w:r>
          <w:fldChar w:fldCharType="end"/>
        </w:r>
      </w:hyperlink>
    </w:p>
    <w:p>
      <w:pPr>
        <w:pStyle w:val="TOC3"/>
        <w:rPr>
          <w:rFonts w:ascii="Calibri" w:hAnsi="Calibri"/>
          <w:noProof/>
          <w:sz w:val="22"/>
        </w:rPr>
      </w:pPr>
      <w:hyperlink w:anchor="_Toc256000172"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_Toc256000172 \h </w:instrText>
        </w:r>
        <w:r>
          <w:fldChar w:fldCharType="separate"/>
        </w:r>
        <w:r>
          <w:t>794</w:t>
        </w:r>
        <w:r>
          <w:fldChar w:fldCharType="end"/>
        </w:r>
      </w:hyperlink>
    </w:p>
    <w:p>
      <w:pPr>
        <w:pStyle w:val="TOC3"/>
        <w:rPr>
          <w:rFonts w:ascii="Calibri" w:hAnsi="Calibri"/>
          <w:noProof/>
          <w:sz w:val="22"/>
        </w:rPr>
      </w:pPr>
      <w:hyperlink w:anchor="_Toc256000173"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_Toc256000173 \h </w:instrText>
        </w:r>
        <w:r>
          <w:fldChar w:fldCharType="separate"/>
        </w:r>
        <w:r>
          <w:t>802</w:t>
        </w:r>
        <w:r>
          <w:fldChar w:fldCharType="end"/>
        </w:r>
      </w:hyperlink>
    </w:p>
    <w:p>
      <w:pPr>
        <w:pStyle w:val="TOC2"/>
        <w:rPr>
          <w:rFonts w:ascii="Calibri" w:hAnsi="Calibri"/>
          <w:noProof/>
          <w:sz w:val="22"/>
        </w:rPr>
      </w:pPr>
      <w:hyperlink w:anchor="_Toc256000174"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_Toc256000174 \h </w:instrText>
        </w:r>
        <w:r>
          <w:fldChar w:fldCharType="separate"/>
        </w:r>
        <w:r>
          <w:t>807</w:t>
        </w:r>
        <w:r>
          <w:fldChar w:fldCharType="end"/>
        </w:r>
      </w:hyperlink>
    </w:p>
    <w:p>
      <w:pPr>
        <w:pStyle w:val="TOC2"/>
        <w:rPr>
          <w:rFonts w:ascii="Calibri" w:hAnsi="Calibri"/>
          <w:noProof/>
          <w:sz w:val="22"/>
        </w:rPr>
      </w:pPr>
      <w:hyperlink w:anchor="_Toc256000175"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_Toc256000175 \h </w:instrText>
        </w:r>
        <w:r>
          <w:fldChar w:fldCharType="separate"/>
        </w:r>
        <w:r>
          <w:t>813</w:t>
        </w:r>
        <w:r>
          <w:fldChar w:fldCharType="end"/>
        </w:r>
      </w:hyperlink>
    </w:p>
    <w:p>
      <w:pPr>
        <w:pStyle w:val="TOC2"/>
        <w:rPr>
          <w:rFonts w:ascii="Calibri" w:hAnsi="Calibri"/>
          <w:noProof/>
          <w:sz w:val="22"/>
        </w:rPr>
      </w:pPr>
      <w:hyperlink w:anchor="_Toc256000176"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_Toc256000176 \h </w:instrText>
        </w:r>
        <w:r>
          <w:fldChar w:fldCharType="separate"/>
        </w:r>
        <w:r>
          <w:t>823</w:t>
        </w:r>
        <w:r>
          <w:fldChar w:fldCharType="end"/>
        </w:r>
      </w:hyperlink>
    </w:p>
    <w:p>
      <w:pPr>
        <w:pStyle w:val="TOC3"/>
        <w:rPr>
          <w:rFonts w:ascii="Calibri" w:hAnsi="Calibri"/>
          <w:noProof/>
          <w:sz w:val="22"/>
        </w:rPr>
      </w:pPr>
      <w:hyperlink w:anchor="_Toc256000177"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_Toc256000177 \h </w:instrText>
        </w:r>
        <w:r>
          <w:fldChar w:fldCharType="separate"/>
        </w:r>
        <w:r>
          <w:t>823</w:t>
        </w:r>
        <w:r>
          <w:fldChar w:fldCharType="end"/>
        </w:r>
      </w:hyperlink>
    </w:p>
    <w:p>
      <w:pPr>
        <w:pStyle w:val="TOC3"/>
        <w:rPr>
          <w:rFonts w:ascii="Calibri" w:hAnsi="Calibri"/>
          <w:noProof/>
          <w:sz w:val="22"/>
        </w:rPr>
      </w:pPr>
      <w:hyperlink w:anchor="_Toc256000178"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_Toc256000178 \h </w:instrText>
        </w:r>
        <w:r>
          <w:fldChar w:fldCharType="separate"/>
        </w:r>
        <w:r>
          <w:t>827</w:t>
        </w:r>
        <w:r>
          <w:fldChar w:fldCharType="end"/>
        </w:r>
      </w:hyperlink>
    </w:p>
    <w:p>
      <w:pPr>
        <w:pStyle w:val="TOC2"/>
        <w:rPr>
          <w:rFonts w:ascii="Calibri" w:hAnsi="Calibri"/>
          <w:noProof/>
          <w:sz w:val="22"/>
        </w:rPr>
      </w:pPr>
      <w:hyperlink w:anchor="_Toc256000179"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_Toc256000179 \h </w:instrText>
        </w:r>
        <w:r>
          <w:fldChar w:fldCharType="separate"/>
        </w:r>
        <w:r>
          <w:t>828</w:t>
        </w:r>
        <w:r>
          <w:fldChar w:fldCharType="end"/>
        </w:r>
      </w:hyperlink>
    </w:p>
    <w:p>
      <w:pPr>
        <w:pStyle w:val="TOC1"/>
        <w:rPr>
          <w:rFonts w:ascii="Calibri" w:hAnsi="Calibri"/>
          <w:noProof/>
          <w:sz w:val="22"/>
        </w:rPr>
      </w:pPr>
      <w:hyperlink w:anchor="_Toc256000180"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_Toc256000180 \h </w:instrText>
        </w:r>
        <w:r>
          <w:fldChar w:fldCharType="separate"/>
        </w:r>
        <w:r>
          <w:t>829</w:t>
        </w:r>
        <w:r>
          <w:fldChar w:fldCharType="end"/>
        </w:r>
      </w:hyperlink>
    </w:p>
    <w:p>
      <w:pPr>
        <w:pStyle w:val="TOC2"/>
        <w:rPr>
          <w:rFonts w:ascii="Calibri" w:hAnsi="Calibri"/>
          <w:noProof/>
          <w:sz w:val="22"/>
        </w:rPr>
      </w:pPr>
      <w:hyperlink w:anchor="_Toc256000181"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_Toc256000181 \h </w:instrText>
        </w:r>
        <w:r>
          <w:fldChar w:fldCharType="separate"/>
        </w:r>
        <w:r>
          <w:t>830</w:t>
        </w:r>
        <w:r>
          <w:fldChar w:fldCharType="end"/>
        </w:r>
      </w:hyperlink>
    </w:p>
    <w:p>
      <w:pPr>
        <w:pStyle w:val="TOC2"/>
        <w:rPr>
          <w:rFonts w:ascii="Calibri" w:hAnsi="Calibri"/>
          <w:noProof/>
          <w:sz w:val="22"/>
        </w:rPr>
      </w:pPr>
      <w:hyperlink w:anchor="_Toc256000182"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_Toc256000182 \h </w:instrText>
        </w:r>
        <w:r>
          <w:fldChar w:fldCharType="separate"/>
        </w:r>
        <w:r>
          <w:t>830</w:t>
        </w:r>
        <w:r>
          <w:fldChar w:fldCharType="end"/>
        </w:r>
      </w:hyperlink>
    </w:p>
    <w:p>
      <w:pPr>
        <w:pStyle w:val="TOC2"/>
        <w:rPr>
          <w:rFonts w:ascii="Calibri" w:hAnsi="Calibri"/>
          <w:noProof/>
          <w:sz w:val="22"/>
        </w:rPr>
      </w:pPr>
      <w:hyperlink w:anchor="_Toc256000183"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_Toc256000183 \h </w:instrText>
        </w:r>
        <w:r>
          <w:fldChar w:fldCharType="separate"/>
        </w:r>
        <w:r>
          <w:t>830</w:t>
        </w:r>
        <w:r>
          <w:fldChar w:fldCharType="end"/>
        </w:r>
      </w:hyperlink>
    </w:p>
    <w:p>
      <w:pPr>
        <w:pStyle w:val="TOC2"/>
        <w:rPr>
          <w:rFonts w:ascii="Calibri" w:hAnsi="Calibri"/>
          <w:noProof/>
          <w:sz w:val="22"/>
        </w:rPr>
      </w:pPr>
      <w:hyperlink w:anchor="_Toc256000184"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_Toc256000184 \h </w:instrText>
        </w:r>
        <w:r>
          <w:fldChar w:fldCharType="separate"/>
        </w:r>
        <w:r>
          <w:t>830</w:t>
        </w:r>
        <w:r>
          <w:fldChar w:fldCharType="end"/>
        </w:r>
      </w:hyperlink>
    </w:p>
    <w:p>
      <w:pPr>
        <w:pStyle w:val="TOC2"/>
        <w:rPr>
          <w:rFonts w:ascii="Calibri" w:hAnsi="Calibri"/>
          <w:noProof/>
          <w:sz w:val="22"/>
        </w:rPr>
      </w:pPr>
      <w:hyperlink w:anchor="_Toc256000185"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_Toc256000185 \h </w:instrText>
        </w:r>
        <w:r>
          <w:fldChar w:fldCharType="separate"/>
        </w:r>
        <w:r>
          <w:t>830</w:t>
        </w:r>
        <w:r>
          <w:fldChar w:fldCharType="end"/>
        </w:r>
      </w:hyperlink>
    </w:p>
    <w:p>
      <w:pPr>
        <w:pStyle w:val="TOC2"/>
        <w:rPr>
          <w:rFonts w:ascii="Calibri" w:hAnsi="Calibri"/>
          <w:noProof/>
          <w:sz w:val="22"/>
        </w:rPr>
      </w:pPr>
      <w:hyperlink w:anchor="_Toc256000186"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_Toc256000186 \h </w:instrText>
        </w:r>
        <w:r>
          <w:fldChar w:fldCharType="separate"/>
        </w:r>
        <w:r>
          <w:t>831</w:t>
        </w:r>
        <w:r>
          <w:fldChar w:fldCharType="end"/>
        </w:r>
      </w:hyperlink>
    </w:p>
    <w:p>
      <w:pPr>
        <w:pStyle w:val="TOC2"/>
        <w:rPr>
          <w:rFonts w:ascii="Calibri" w:hAnsi="Calibri"/>
          <w:noProof/>
          <w:sz w:val="22"/>
        </w:rPr>
      </w:pPr>
      <w:hyperlink w:anchor="_Toc256000187"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_Toc256000187 \h </w:instrText>
        </w:r>
        <w:r>
          <w:fldChar w:fldCharType="separate"/>
        </w:r>
        <w:r>
          <w:t>831</w:t>
        </w:r>
        <w:r>
          <w:fldChar w:fldCharType="end"/>
        </w:r>
      </w:hyperlink>
    </w:p>
    <w:p>
      <w:pPr>
        <w:pStyle w:val="TOC2"/>
        <w:rPr>
          <w:rFonts w:ascii="Calibri" w:hAnsi="Calibri"/>
          <w:noProof/>
          <w:sz w:val="22"/>
        </w:rPr>
      </w:pPr>
      <w:hyperlink w:anchor="_Toc256000188"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_Toc256000188 \h </w:instrText>
        </w:r>
        <w:r>
          <w:fldChar w:fldCharType="separate"/>
        </w:r>
        <w:r>
          <w:t>831</w:t>
        </w:r>
        <w:r>
          <w:fldChar w:fldCharType="end"/>
        </w:r>
      </w:hyperlink>
    </w:p>
    <w:p>
      <w:pPr>
        <w:pStyle w:val="TOC2"/>
        <w:rPr>
          <w:rFonts w:ascii="Calibri" w:hAnsi="Calibri"/>
          <w:noProof/>
          <w:sz w:val="22"/>
        </w:rPr>
      </w:pPr>
      <w:hyperlink w:anchor="_Toc256000189"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_Toc256000189 \h </w:instrText>
        </w:r>
        <w:r>
          <w:fldChar w:fldCharType="separate"/>
        </w:r>
        <w:r>
          <w:t>831</w:t>
        </w:r>
        <w:r>
          <w:fldChar w:fldCharType="end"/>
        </w:r>
      </w:hyperlink>
    </w:p>
    <w:p>
      <w:pPr>
        <w:pStyle w:val="TOC2"/>
        <w:rPr>
          <w:rFonts w:ascii="Calibri" w:hAnsi="Calibri"/>
          <w:noProof/>
          <w:sz w:val="22"/>
        </w:rPr>
      </w:pPr>
      <w:hyperlink w:anchor="_Toc256000190"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_Toc256000190 \h </w:instrText>
        </w:r>
        <w:r>
          <w:fldChar w:fldCharType="separate"/>
        </w:r>
        <w:r>
          <w:t>831</w:t>
        </w:r>
        <w:r>
          <w:fldChar w:fldCharType="end"/>
        </w:r>
      </w:hyperlink>
    </w:p>
    <w:p>
      <w:pPr>
        <w:pStyle w:val="TOC2"/>
        <w:rPr>
          <w:rFonts w:ascii="Calibri" w:hAnsi="Calibri"/>
          <w:noProof/>
          <w:sz w:val="22"/>
        </w:rPr>
      </w:pPr>
      <w:hyperlink w:anchor="_Toc256000191"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_Toc256000191 \h </w:instrText>
        </w:r>
        <w:r>
          <w:fldChar w:fldCharType="separate"/>
        </w:r>
        <w:r>
          <w:t>832</w:t>
        </w:r>
        <w:r>
          <w:fldChar w:fldCharType="end"/>
        </w:r>
      </w:hyperlink>
    </w:p>
    <w:p>
      <w:pPr>
        <w:pStyle w:val="TOC2"/>
        <w:rPr>
          <w:rFonts w:ascii="Calibri" w:hAnsi="Calibri"/>
          <w:noProof/>
          <w:sz w:val="22"/>
        </w:rPr>
      </w:pPr>
      <w:hyperlink w:anchor="_Toc256000192"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_Toc256000192 \h </w:instrText>
        </w:r>
        <w:r>
          <w:fldChar w:fldCharType="separate"/>
        </w:r>
        <w:r>
          <w:t>832</w:t>
        </w:r>
        <w:r>
          <w:fldChar w:fldCharType="end"/>
        </w:r>
      </w:hyperlink>
    </w:p>
    <w:p>
      <w:pPr>
        <w:pStyle w:val="TOC2"/>
        <w:rPr>
          <w:rFonts w:ascii="Calibri" w:hAnsi="Calibri"/>
          <w:noProof/>
          <w:sz w:val="22"/>
        </w:rPr>
      </w:pPr>
      <w:hyperlink w:anchor="_Toc256000193"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_Toc256000193 \h </w:instrText>
        </w:r>
        <w:r>
          <w:fldChar w:fldCharType="separate"/>
        </w:r>
        <w:r>
          <w:t>832</w:t>
        </w:r>
        <w:r>
          <w:fldChar w:fldCharType="end"/>
        </w:r>
      </w:hyperlink>
    </w:p>
    <w:p>
      <w:pPr>
        <w:pStyle w:val="TOC2"/>
        <w:rPr>
          <w:rFonts w:ascii="Calibri" w:hAnsi="Calibri"/>
          <w:noProof/>
          <w:sz w:val="22"/>
        </w:rPr>
      </w:pPr>
      <w:hyperlink w:anchor="_Toc256000194"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_Toc256000194 \h </w:instrText>
        </w:r>
        <w:r>
          <w:fldChar w:fldCharType="separate"/>
        </w:r>
        <w:r>
          <w:t>832</w:t>
        </w:r>
        <w:r>
          <w:fldChar w:fldCharType="end"/>
        </w:r>
      </w:hyperlink>
    </w:p>
    <w:p>
      <w:pPr>
        <w:pStyle w:val="TOC2"/>
        <w:rPr>
          <w:rFonts w:ascii="Calibri" w:hAnsi="Calibri"/>
          <w:noProof/>
          <w:sz w:val="22"/>
        </w:rPr>
      </w:pPr>
      <w:hyperlink w:anchor="_Toc256000195"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_Toc256000195 \h </w:instrText>
        </w:r>
        <w:r>
          <w:fldChar w:fldCharType="separate"/>
        </w:r>
        <w:r>
          <w:t>833</w:t>
        </w:r>
        <w:r>
          <w:fldChar w:fldCharType="end"/>
        </w:r>
      </w:hyperlink>
    </w:p>
    <w:p>
      <w:pPr>
        <w:pStyle w:val="TOC2"/>
        <w:rPr>
          <w:rFonts w:ascii="Calibri" w:hAnsi="Calibri"/>
          <w:noProof/>
          <w:sz w:val="22"/>
        </w:rPr>
      </w:pPr>
      <w:hyperlink w:anchor="_Toc256000196"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_Toc256000196 \h </w:instrText>
        </w:r>
        <w:r>
          <w:fldChar w:fldCharType="separate"/>
        </w:r>
        <w:r>
          <w:t>833</w:t>
        </w:r>
        <w:r>
          <w:fldChar w:fldCharType="end"/>
        </w:r>
      </w:hyperlink>
    </w:p>
    <w:p>
      <w:pPr>
        <w:pStyle w:val="TOC2"/>
        <w:rPr>
          <w:rFonts w:ascii="Calibri" w:hAnsi="Calibri"/>
          <w:noProof/>
          <w:sz w:val="22"/>
        </w:rPr>
      </w:pPr>
      <w:hyperlink w:anchor="_Toc256000197" w:history="1">
        <w:r>
          <w:rPr>
            <w:rStyle w:val="Hyperlink"/>
          </w:rPr>
          <w:t>12.17.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_Toc256000197 \h </w:instrText>
        </w:r>
        <w:r>
          <w:fldChar w:fldCharType="separate"/>
        </w:r>
        <w:r>
          <w:t>833</w:t>
        </w:r>
        <w:r>
          <w:fldChar w:fldCharType="end"/>
        </w:r>
      </w:hyperlink>
    </w:p>
    <w:p>
      <w:pPr>
        <w:pStyle w:val="TOC2"/>
        <w:rPr>
          <w:rFonts w:ascii="Calibri" w:hAnsi="Calibri"/>
          <w:noProof/>
          <w:sz w:val="22"/>
        </w:rPr>
      </w:pPr>
      <w:hyperlink w:anchor="_Toc256000198" w:history="1">
        <w:r>
          <w:rPr>
            <w:rStyle w:val="Hyperlink"/>
          </w:rPr>
          <w:t>12.18.</w:t>
        </w:r>
        <w:r>
          <w:rPr>
            <w:rStyle w:val="Hyperlink"/>
          </w:rPr>
          <w:t xml:space="preserve"> </w:t>
        </w:r>
        <w:r>
          <w:rPr>
            <w:rStyle w:val="Hyperlink"/>
          </w:rPr>
          <w:t>M22 - Exceptional temporary support to farmers and SMEs particularly affected by the impact of Russia's invasion of Ukraine (art 39b)</w:t>
        </w:r>
        <w:r>
          <w:tab/>
        </w:r>
        <w:r>
          <w:fldChar w:fldCharType="begin"/>
        </w:r>
        <w:r>
          <w:instrText xml:space="preserve"> PAGEREF _Toc256000198 \h </w:instrText>
        </w:r>
        <w:r>
          <w:fldChar w:fldCharType="separate"/>
        </w:r>
        <w:r>
          <w:t>833</w:t>
        </w:r>
        <w:r>
          <w:fldChar w:fldCharType="end"/>
        </w:r>
      </w:hyperlink>
    </w:p>
    <w:p>
      <w:pPr>
        <w:pStyle w:val="TOC1"/>
        <w:rPr>
          <w:rFonts w:ascii="Calibri" w:hAnsi="Calibri"/>
          <w:noProof/>
          <w:sz w:val="22"/>
        </w:rPr>
      </w:pPr>
      <w:hyperlink w:anchor="_Toc256000199"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_Toc256000199 \h </w:instrText>
        </w:r>
        <w:r>
          <w:fldChar w:fldCharType="separate"/>
        </w:r>
        <w:r>
          <w:t>834</w:t>
        </w:r>
        <w:r>
          <w:fldChar w:fldCharType="end"/>
        </w:r>
      </w:hyperlink>
    </w:p>
    <w:p>
      <w:pPr>
        <w:pStyle w:val="TOC2"/>
        <w:rPr>
          <w:rFonts w:ascii="Calibri" w:hAnsi="Calibri"/>
          <w:noProof/>
          <w:sz w:val="22"/>
        </w:rPr>
      </w:pPr>
      <w:hyperlink w:anchor="_Toc256000200"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_Toc256000200 \h </w:instrText>
        </w:r>
        <w:r>
          <w:fldChar w:fldCharType="separate"/>
        </w:r>
        <w:r>
          <w:t>837</w:t>
        </w:r>
        <w:r>
          <w:fldChar w:fldCharType="end"/>
        </w:r>
      </w:hyperlink>
    </w:p>
    <w:p>
      <w:pPr>
        <w:pStyle w:val="TOC2"/>
        <w:rPr>
          <w:rFonts w:ascii="Calibri" w:hAnsi="Calibri"/>
          <w:noProof/>
          <w:sz w:val="22"/>
        </w:rPr>
      </w:pPr>
      <w:hyperlink w:anchor="_Toc256000201"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_Toc256000201 \h </w:instrText>
        </w:r>
        <w:r>
          <w:fldChar w:fldCharType="separate"/>
        </w:r>
        <w:r>
          <w:t>837</w:t>
        </w:r>
        <w:r>
          <w:fldChar w:fldCharType="end"/>
        </w:r>
      </w:hyperlink>
    </w:p>
    <w:p>
      <w:pPr>
        <w:pStyle w:val="TOC2"/>
        <w:rPr>
          <w:rFonts w:ascii="Calibri" w:hAnsi="Calibri"/>
          <w:noProof/>
          <w:sz w:val="22"/>
        </w:rPr>
      </w:pPr>
      <w:hyperlink w:anchor="_Toc256000202"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_Toc256000202 \h </w:instrText>
        </w:r>
        <w:r>
          <w:fldChar w:fldCharType="separate"/>
        </w:r>
        <w:r>
          <w:t>838</w:t>
        </w:r>
        <w:r>
          <w:fldChar w:fldCharType="end"/>
        </w:r>
      </w:hyperlink>
    </w:p>
    <w:p>
      <w:pPr>
        <w:pStyle w:val="TOC2"/>
        <w:rPr>
          <w:rFonts w:ascii="Calibri" w:hAnsi="Calibri"/>
          <w:noProof/>
          <w:sz w:val="22"/>
        </w:rPr>
      </w:pPr>
      <w:hyperlink w:anchor="_Toc256000203"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_Toc256000203 \h </w:instrText>
        </w:r>
        <w:r>
          <w:fldChar w:fldCharType="separate"/>
        </w:r>
        <w:r>
          <w:t>838</w:t>
        </w:r>
        <w:r>
          <w:fldChar w:fldCharType="end"/>
        </w:r>
      </w:hyperlink>
    </w:p>
    <w:p>
      <w:pPr>
        <w:pStyle w:val="TOC2"/>
        <w:rPr>
          <w:rFonts w:ascii="Calibri" w:hAnsi="Calibri"/>
          <w:noProof/>
          <w:sz w:val="22"/>
        </w:rPr>
      </w:pPr>
      <w:hyperlink w:anchor="_Toc256000204"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_Toc256000204 \h </w:instrText>
        </w:r>
        <w:r>
          <w:fldChar w:fldCharType="separate"/>
        </w:r>
        <w:r>
          <w:t>839</w:t>
        </w:r>
        <w:r>
          <w:fldChar w:fldCharType="end"/>
        </w:r>
      </w:hyperlink>
    </w:p>
    <w:p>
      <w:pPr>
        <w:pStyle w:val="TOC2"/>
        <w:rPr>
          <w:rFonts w:ascii="Calibri" w:hAnsi="Calibri"/>
          <w:noProof/>
          <w:sz w:val="22"/>
        </w:rPr>
      </w:pPr>
      <w:hyperlink w:anchor="_Toc256000205"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_Toc256000205 \h </w:instrText>
        </w:r>
        <w:r>
          <w:fldChar w:fldCharType="separate"/>
        </w:r>
        <w:r>
          <w:t>839</w:t>
        </w:r>
        <w:r>
          <w:fldChar w:fldCharType="end"/>
        </w:r>
      </w:hyperlink>
    </w:p>
    <w:p>
      <w:pPr>
        <w:pStyle w:val="TOC2"/>
        <w:rPr>
          <w:rFonts w:ascii="Calibri" w:hAnsi="Calibri"/>
          <w:noProof/>
          <w:sz w:val="22"/>
        </w:rPr>
      </w:pPr>
      <w:hyperlink w:anchor="_Toc256000206"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_Toc256000206 \h </w:instrText>
        </w:r>
        <w:r>
          <w:fldChar w:fldCharType="separate"/>
        </w:r>
        <w:r>
          <w:t>840</w:t>
        </w:r>
        <w:r>
          <w:fldChar w:fldCharType="end"/>
        </w:r>
      </w:hyperlink>
    </w:p>
    <w:p>
      <w:pPr>
        <w:pStyle w:val="TOC2"/>
        <w:rPr>
          <w:rFonts w:ascii="Calibri" w:hAnsi="Calibri"/>
          <w:noProof/>
          <w:sz w:val="22"/>
        </w:rPr>
      </w:pPr>
      <w:hyperlink w:anchor="_Toc256000207"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_Toc256000207 \h </w:instrText>
        </w:r>
        <w:r>
          <w:fldChar w:fldCharType="separate"/>
        </w:r>
        <w:r>
          <w:t>840</w:t>
        </w:r>
        <w:r>
          <w:fldChar w:fldCharType="end"/>
        </w:r>
      </w:hyperlink>
    </w:p>
    <w:p>
      <w:pPr>
        <w:pStyle w:val="TOC2"/>
        <w:rPr>
          <w:rFonts w:ascii="Calibri" w:hAnsi="Calibri"/>
          <w:noProof/>
          <w:sz w:val="22"/>
        </w:rPr>
      </w:pPr>
      <w:hyperlink w:anchor="_Toc256000208"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_Toc256000208 \h </w:instrText>
        </w:r>
        <w:r>
          <w:fldChar w:fldCharType="separate"/>
        </w:r>
        <w:r>
          <w:t>841</w:t>
        </w:r>
        <w:r>
          <w:fldChar w:fldCharType="end"/>
        </w:r>
      </w:hyperlink>
    </w:p>
    <w:p>
      <w:pPr>
        <w:pStyle w:val="TOC2"/>
        <w:rPr>
          <w:rFonts w:ascii="Calibri" w:hAnsi="Calibri"/>
          <w:noProof/>
          <w:sz w:val="22"/>
        </w:rPr>
      </w:pPr>
      <w:hyperlink w:anchor="_Toc256000209"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_Toc256000209 \h </w:instrText>
        </w:r>
        <w:r>
          <w:fldChar w:fldCharType="separate"/>
        </w:r>
        <w:r>
          <w:t>841</w:t>
        </w:r>
        <w:r>
          <w:fldChar w:fldCharType="end"/>
        </w:r>
      </w:hyperlink>
    </w:p>
    <w:p>
      <w:pPr>
        <w:pStyle w:val="TOC2"/>
        <w:rPr>
          <w:rFonts w:ascii="Calibri" w:hAnsi="Calibri"/>
          <w:noProof/>
          <w:sz w:val="22"/>
        </w:rPr>
      </w:pPr>
      <w:hyperlink w:anchor="_Toc256000210"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_Toc256000210 \h </w:instrText>
        </w:r>
        <w:r>
          <w:fldChar w:fldCharType="separate"/>
        </w:r>
        <w:r>
          <w:t>842</w:t>
        </w:r>
        <w:r>
          <w:fldChar w:fldCharType="end"/>
        </w:r>
      </w:hyperlink>
    </w:p>
    <w:p>
      <w:pPr>
        <w:pStyle w:val="TOC2"/>
        <w:rPr>
          <w:rFonts w:ascii="Calibri" w:hAnsi="Calibri"/>
          <w:noProof/>
          <w:sz w:val="22"/>
        </w:rPr>
      </w:pPr>
      <w:hyperlink w:anchor="_Toc256000211"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_Toc256000211 \h </w:instrText>
        </w:r>
        <w:r>
          <w:fldChar w:fldCharType="separate"/>
        </w:r>
        <w:r>
          <w:t>842</w:t>
        </w:r>
        <w:r>
          <w:fldChar w:fldCharType="end"/>
        </w:r>
      </w:hyperlink>
    </w:p>
    <w:p>
      <w:pPr>
        <w:pStyle w:val="TOC2"/>
        <w:rPr>
          <w:rFonts w:ascii="Calibri" w:hAnsi="Calibri"/>
          <w:noProof/>
          <w:sz w:val="22"/>
        </w:rPr>
      </w:pPr>
      <w:hyperlink w:anchor="_Toc256000212"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_Toc256000212 \h </w:instrText>
        </w:r>
        <w:r>
          <w:fldChar w:fldCharType="separate"/>
        </w:r>
        <w:r>
          <w:t>843</w:t>
        </w:r>
        <w:r>
          <w:fldChar w:fldCharType="end"/>
        </w:r>
      </w:hyperlink>
    </w:p>
    <w:p>
      <w:pPr>
        <w:pStyle w:val="TOC2"/>
        <w:rPr>
          <w:rFonts w:ascii="Calibri" w:hAnsi="Calibri"/>
          <w:noProof/>
          <w:sz w:val="22"/>
        </w:rPr>
      </w:pPr>
      <w:hyperlink w:anchor="_Toc256000213"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_Toc256000213 \h </w:instrText>
        </w:r>
        <w:r>
          <w:fldChar w:fldCharType="separate"/>
        </w:r>
        <w:r>
          <w:t>843</w:t>
        </w:r>
        <w:r>
          <w:fldChar w:fldCharType="end"/>
        </w:r>
      </w:hyperlink>
    </w:p>
    <w:p>
      <w:pPr>
        <w:pStyle w:val="TOC2"/>
        <w:rPr>
          <w:rFonts w:ascii="Calibri" w:hAnsi="Calibri"/>
          <w:noProof/>
          <w:sz w:val="22"/>
        </w:rPr>
      </w:pPr>
      <w:hyperlink w:anchor="_Toc256000214"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_Toc256000214 \h </w:instrText>
        </w:r>
        <w:r>
          <w:fldChar w:fldCharType="separate"/>
        </w:r>
        <w:r>
          <w:t>844</w:t>
        </w:r>
        <w:r>
          <w:fldChar w:fldCharType="end"/>
        </w:r>
      </w:hyperlink>
    </w:p>
    <w:p>
      <w:pPr>
        <w:pStyle w:val="TOC2"/>
        <w:rPr>
          <w:rFonts w:ascii="Calibri" w:hAnsi="Calibri"/>
          <w:noProof/>
          <w:sz w:val="22"/>
        </w:rPr>
      </w:pPr>
      <w:hyperlink w:anchor="_Toc256000215"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_Toc256000215 \h </w:instrText>
        </w:r>
        <w:r>
          <w:fldChar w:fldCharType="separate"/>
        </w:r>
        <w:r>
          <w:t>844</w:t>
        </w:r>
        <w:r>
          <w:fldChar w:fldCharType="end"/>
        </w:r>
      </w:hyperlink>
    </w:p>
    <w:p>
      <w:pPr>
        <w:pStyle w:val="TOC2"/>
        <w:rPr>
          <w:rFonts w:ascii="Calibri" w:hAnsi="Calibri"/>
          <w:noProof/>
          <w:sz w:val="22"/>
        </w:rPr>
      </w:pPr>
      <w:hyperlink w:anchor="_Toc256000216"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_Toc256000216 \h </w:instrText>
        </w:r>
        <w:r>
          <w:fldChar w:fldCharType="separate"/>
        </w:r>
        <w:r>
          <w:t>845</w:t>
        </w:r>
        <w:r>
          <w:fldChar w:fldCharType="end"/>
        </w:r>
      </w:hyperlink>
    </w:p>
    <w:p>
      <w:pPr>
        <w:pStyle w:val="TOC2"/>
        <w:rPr>
          <w:rFonts w:ascii="Calibri" w:hAnsi="Calibri"/>
          <w:noProof/>
          <w:sz w:val="22"/>
        </w:rPr>
      </w:pPr>
      <w:hyperlink w:anchor="_Toc256000217"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_Toc256000217 \h </w:instrText>
        </w:r>
        <w:r>
          <w:fldChar w:fldCharType="separate"/>
        </w:r>
        <w:r>
          <w:t>845</w:t>
        </w:r>
        <w:r>
          <w:fldChar w:fldCharType="end"/>
        </w:r>
      </w:hyperlink>
    </w:p>
    <w:p>
      <w:pPr>
        <w:pStyle w:val="TOC2"/>
        <w:rPr>
          <w:rFonts w:ascii="Calibri" w:hAnsi="Calibri"/>
          <w:noProof/>
          <w:sz w:val="22"/>
        </w:rPr>
      </w:pPr>
      <w:hyperlink w:anchor="_Toc256000218"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_Toc256000218 \h </w:instrText>
        </w:r>
        <w:r>
          <w:fldChar w:fldCharType="separate"/>
        </w:r>
        <w:r>
          <w:t>845</w:t>
        </w:r>
        <w:r>
          <w:fldChar w:fldCharType="end"/>
        </w:r>
      </w:hyperlink>
    </w:p>
    <w:p>
      <w:pPr>
        <w:pStyle w:val="TOC2"/>
        <w:rPr>
          <w:rFonts w:ascii="Calibri" w:hAnsi="Calibri"/>
          <w:noProof/>
          <w:sz w:val="22"/>
        </w:rPr>
      </w:pPr>
      <w:hyperlink w:anchor="_Toc256000219"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_Toc256000219 \h </w:instrText>
        </w:r>
        <w:r>
          <w:fldChar w:fldCharType="separate"/>
        </w:r>
        <w:r>
          <w:t>846</w:t>
        </w:r>
        <w:r>
          <w:fldChar w:fldCharType="end"/>
        </w:r>
      </w:hyperlink>
    </w:p>
    <w:p>
      <w:pPr>
        <w:pStyle w:val="TOC2"/>
        <w:rPr>
          <w:rFonts w:ascii="Calibri" w:hAnsi="Calibri"/>
          <w:noProof/>
          <w:sz w:val="22"/>
        </w:rPr>
      </w:pPr>
      <w:hyperlink w:anchor="_Toc256000220"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_Toc256000220 \h </w:instrText>
        </w:r>
        <w:r>
          <w:fldChar w:fldCharType="separate"/>
        </w:r>
        <w:r>
          <w:t>846</w:t>
        </w:r>
        <w:r>
          <w:fldChar w:fldCharType="end"/>
        </w:r>
      </w:hyperlink>
    </w:p>
    <w:p>
      <w:pPr>
        <w:pStyle w:val="TOC2"/>
        <w:rPr>
          <w:rFonts w:ascii="Calibri" w:hAnsi="Calibri"/>
          <w:noProof/>
          <w:sz w:val="22"/>
        </w:rPr>
      </w:pPr>
      <w:hyperlink w:anchor="_Toc256000221"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_Toc256000221 \h </w:instrText>
        </w:r>
        <w:r>
          <w:fldChar w:fldCharType="separate"/>
        </w:r>
        <w:r>
          <w:t>847</w:t>
        </w:r>
        <w:r>
          <w:fldChar w:fldCharType="end"/>
        </w:r>
      </w:hyperlink>
    </w:p>
    <w:p>
      <w:pPr>
        <w:pStyle w:val="TOC2"/>
        <w:rPr>
          <w:rFonts w:ascii="Calibri" w:hAnsi="Calibri"/>
          <w:noProof/>
          <w:sz w:val="22"/>
        </w:rPr>
      </w:pPr>
      <w:hyperlink w:anchor="_Toc256000222" w:history="1">
        <w:r>
          <w:rPr>
            <w:rStyle w:val="Hyperlink"/>
          </w:rPr>
          <w:t>13.23.</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_Toc256000222 \h </w:instrText>
        </w:r>
        <w:r>
          <w:fldChar w:fldCharType="separate"/>
        </w:r>
        <w:r>
          <w:t>847</w:t>
        </w:r>
        <w:r>
          <w:fldChar w:fldCharType="end"/>
        </w:r>
      </w:hyperlink>
    </w:p>
    <w:p>
      <w:pPr>
        <w:pStyle w:val="TOC2"/>
        <w:rPr>
          <w:rFonts w:ascii="Calibri" w:hAnsi="Calibri"/>
          <w:noProof/>
          <w:sz w:val="22"/>
        </w:rPr>
      </w:pPr>
      <w:hyperlink w:anchor="_Toc256000223" w:history="1">
        <w:r>
          <w:rPr>
            <w:rStyle w:val="Hyperlink"/>
          </w:rPr>
          <w:t>13.24.</w:t>
        </w:r>
        <w:r>
          <w:rPr>
            <w:rStyle w:val="Hyperlink"/>
          </w:rPr>
          <w:t xml:space="preserve"> </w:t>
        </w:r>
        <w:r>
          <w:rPr>
            <w:rStyle w:val="Hyperlink"/>
          </w:rPr>
          <w:t>M22 - Exceptional temporary support to farmers and SMEs particularly affected by the impact of Russia's invasion of Ukraine (art 39b)</w:t>
        </w:r>
        <w:r>
          <w:tab/>
        </w:r>
        <w:r>
          <w:fldChar w:fldCharType="begin"/>
        </w:r>
        <w:r>
          <w:instrText xml:space="preserve"> PAGEREF _Toc256000223 \h </w:instrText>
        </w:r>
        <w:r>
          <w:fldChar w:fldCharType="separate"/>
        </w:r>
        <w:r>
          <w:t>848</w:t>
        </w:r>
        <w:r>
          <w:fldChar w:fldCharType="end"/>
        </w:r>
      </w:hyperlink>
    </w:p>
    <w:p>
      <w:pPr>
        <w:pStyle w:val="TOC1"/>
        <w:rPr>
          <w:rFonts w:ascii="Calibri" w:hAnsi="Calibri"/>
          <w:noProof/>
          <w:sz w:val="22"/>
        </w:rPr>
      </w:pPr>
      <w:hyperlink w:anchor="_Toc256000224"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_Toc256000224 \h </w:instrText>
        </w:r>
        <w:r>
          <w:fldChar w:fldCharType="separate"/>
        </w:r>
        <w:r>
          <w:t>849</w:t>
        </w:r>
        <w:r>
          <w:fldChar w:fldCharType="end"/>
        </w:r>
      </w:hyperlink>
    </w:p>
    <w:p>
      <w:pPr>
        <w:pStyle w:val="TOC2"/>
        <w:rPr>
          <w:rFonts w:ascii="Calibri" w:hAnsi="Calibri"/>
          <w:noProof/>
          <w:sz w:val="22"/>
        </w:rPr>
      </w:pPr>
      <w:hyperlink w:anchor="_Toc256000225"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_Toc256000225 \h </w:instrText>
        </w:r>
        <w:r>
          <w:fldChar w:fldCharType="separate"/>
        </w:r>
        <w:r>
          <w:t>849</w:t>
        </w:r>
        <w:r>
          <w:fldChar w:fldCharType="end"/>
        </w:r>
      </w:hyperlink>
    </w:p>
    <w:p>
      <w:pPr>
        <w:pStyle w:val="TOC3"/>
        <w:rPr>
          <w:rFonts w:ascii="Calibri" w:hAnsi="Calibri"/>
          <w:noProof/>
          <w:sz w:val="22"/>
        </w:rPr>
      </w:pPr>
      <w:hyperlink w:anchor="_Toc256000226"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_Toc256000226 \h </w:instrText>
        </w:r>
        <w:r>
          <w:fldChar w:fldCharType="separate"/>
        </w:r>
        <w:r>
          <w:t>849</w:t>
        </w:r>
        <w:r>
          <w:fldChar w:fldCharType="end"/>
        </w:r>
      </w:hyperlink>
    </w:p>
    <w:p>
      <w:pPr>
        <w:pStyle w:val="TOC3"/>
        <w:rPr>
          <w:rFonts w:ascii="Calibri" w:hAnsi="Calibri"/>
          <w:noProof/>
          <w:sz w:val="22"/>
        </w:rPr>
      </w:pPr>
      <w:hyperlink w:anchor="_Toc256000227"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_Toc256000227 \h </w:instrText>
        </w:r>
        <w:r>
          <w:fldChar w:fldCharType="separate"/>
        </w:r>
        <w:r>
          <w:t>857</w:t>
        </w:r>
        <w:r>
          <w:fldChar w:fldCharType="end"/>
        </w:r>
      </w:hyperlink>
    </w:p>
    <w:p>
      <w:pPr>
        <w:pStyle w:val="TOC2"/>
        <w:rPr>
          <w:rFonts w:ascii="Calibri" w:hAnsi="Calibri"/>
          <w:noProof/>
          <w:sz w:val="22"/>
        </w:rPr>
      </w:pPr>
      <w:hyperlink w:anchor="_Toc256000228"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_Toc256000228 \h </w:instrText>
        </w:r>
        <w:r>
          <w:fldChar w:fldCharType="separate"/>
        </w:r>
        <w:r>
          <w:t>857</w:t>
        </w:r>
        <w:r>
          <w:fldChar w:fldCharType="end"/>
        </w:r>
      </w:hyperlink>
    </w:p>
    <w:p>
      <w:pPr>
        <w:pStyle w:val="TOC1"/>
        <w:rPr>
          <w:rFonts w:ascii="Calibri" w:hAnsi="Calibri"/>
          <w:noProof/>
          <w:sz w:val="22"/>
        </w:rPr>
      </w:pPr>
      <w:hyperlink w:anchor="_Toc256000229"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_Toc256000229 \h </w:instrText>
        </w:r>
        <w:r>
          <w:fldChar w:fldCharType="separate"/>
        </w:r>
        <w:r>
          <w:t>860</w:t>
        </w:r>
        <w:r>
          <w:fldChar w:fldCharType="end"/>
        </w:r>
      </w:hyperlink>
    </w:p>
    <w:p>
      <w:pPr>
        <w:pStyle w:val="TOC2"/>
        <w:rPr>
          <w:rFonts w:ascii="Calibri" w:hAnsi="Calibri"/>
          <w:noProof/>
          <w:sz w:val="22"/>
        </w:rPr>
      </w:pPr>
      <w:hyperlink w:anchor="_Toc256000230"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_Toc256000230 \h </w:instrText>
        </w:r>
        <w:r>
          <w:fldChar w:fldCharType="separate"/>
        </w:r>
        <w:r>
          <w:t>860</w:t>
        </w:r>
        <w:r>
          <w:fldChar w:fldCharType="end"/>
        </w:r>
      </w:hyperlink>
    </w:p>
    <w:p>
      <w:pPr>
        <w:pStyle w:val="TOC3"/>
        <w:rPr>
          <w:rFonts w:ascii="Calibri" w:hAnsi="Calibri"/>
          <w:noProof/>
          <w:sz w:val="22"/>
        </w:rPr>
      </w:pPr>
      <w:hyperlink w:anchor="_Toc256000231" w:history="1">
        <w:r>
          <w:rPr>
            <w:rStyle w:val="Hyperlink"/>
          </w:rPr>
          <w:t>15.1.1.</w:t>
        </w:r>
        <w:r>
          <w:rPr>
            <w:rStyle w:val="Hyperlink"/>
          </w:rPr>
          <w:t xml:space="preserve"> </w:t>
        </w:r>
        <w:r>
          <w:rPr>
            <w:rStyle w:val="Hyperlink"/>
          </w:rPr>
          <w:t>Органи</w:t>
        </w:r>
        <w:r>
          <w:tab/>
        </w:r>
        <w:r>
          <w:fldChar w:fldCharType="begin"/>
        </w:r>
        <w:r>
          <w:instrText xml:space="preserve"> PAGEREF _Toc256000231 \h </w:instrText>
        </w:r>
        <w:r>
          <w:fldChar w:fldCharType="separate"/>
        </w:r>
        <w:r>
          <w:t>860</w:t>
        </w:r>
        <w:r>
          <w:fldChar w:fldCharType="end"/>
        </w:r>
      </w:hyperlink>
    </w:p>
    <w:p>
      <w:pPr>
        <w:pStyle w:val="TOC3"/>
        <w:rPr>
          <w:rFonts w:ascii="Calibri" w:hAnsi="Calibri"/>
          <w:noProof/>
          <w:sz w:val="22"/>
        </w:rPr>
      </w:pPr>
      <w:hyperlink w:anchor="_Toc256000232"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_Toc256000232 \h </w:instrText>
        </w:r>
        <w:r>
          <w:fldChar w:fldCharType="separate"/>
        </w:r>
        <w:r>
          <w:t>860</w:t>
        </w:r>
        <w:r>
          <w:fldChar w:fldCharType="end"/>
        </w:r>
      </w:hyperlink>
    </w:p>
    <w:p>
      <w:pPr>
        <w:pStyle w:val="TOC2"/>
        <w:rPr>
          <w:rFonts w:ascii="Calibri" w:hAnsi="Calibri"/>
          <w:noProof/>
          <w:sz w:val="22"/>
        </w:rPr>
      </w:pPr>
      <w:hyperlink w:anchor="_Toc256000233"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_Toc256000233 \h </w:instrText>
        </w:r>
        <w:r>
          <w:fldChar w:fldCharType="separate"/>
        </w:r>
        <w:r>
          <w:t>864</w:t>
        </w:r>
        <w:r>
          <w:fldChar w:fldCharType="end"/>
        </w:r>
      </w:hyperlink>
    </w:p>
    <w:p>
      <w:pPr>
        <w:pStyle w:val="TOC2"/>
        <w:rPr>
          <w:rFonts w:ascii="Calibri" w:hAnsi="Calibri"/>
          <w:noProof/>
          <w:sz w:val="22"/>
        </w:rPr>
      </w:pPr>
      <w:hyperlink w:anchor="_Toc256000234"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_Toc256000234 \h </w:instrText>
        </w:r>
        <w:r>
          <w:fldChar w:fldCharType="separate"/>
        </w:r>
        <w:r>
          <w:t>866</w:t>
        </w:r>
        <w:r>
          <w:fldChar w:fldCharType="end"/>
        </w:r>
      </w:hyperlink>
    </w:p>
    <w:p>
      <w:pPr>
        <w:pStyle w:val="TOC2"/>
        <w:rPr>
          <w:rFonts w:ascii="Calibri" w:hAnsi="Calibri"/>
          <w:noProof/>
          <w:sz w:val="22"/>
        </w:rPr>
      </w:pPr>
      <w:hyperlink w:anchor="_Toc256000235"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_Toc256000235 \h </w:instrText>
        </w:r>
        <w:r>
          <w:fldChar w:fldCharType="separate"/>
        </w:r>
        <w:r>
          <w:t>872</w:t>
        </w:r>
        <w:r>
          <w:fldChar w:fldCharType="end"/>
        </w:r>
      </w:hyperlink>
    </w:p>
    <w:p>
      <w:pPr>
        <w:pStyle w:val="TOC2"/>
        <w:rPr>
          <w:rFonts w:ascii="Calibri" w:hAnsi="Calibri"/>
          <w:noProof/>
          <w:sz w:val="22"/>
        </w:rPr>
      </w:pPr>
      <w:hyperlink w:anchor="_Toc256000236"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_Toc256000236 \h </w:instrText>
        </w:r>
        <w:r>
          <w:fldChar w:fldCharType="separate"/>
        </w:r>
        <w:r>
          <w:t>873</w:t>
        </w:r>
        <w:r>
          <w:fldChar w:fldCharType="end"/>
        </w:r>
      </w:hyperlink>
    </w:p>
    <w:p>
      <w:pPr>
        <w:pStyle w:val="TOC2"/>
        <w:rPr>
          <w:rFonts w:ascii="Calibri" w:hAnsi="Calibri"/>
          <w:noProof/>
          <w:sz w:val="22"/>
        </w:rPr>
      </w:pPr>
      <w:hyperlink w:anchor="_Toc256000237"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_Toc256000237 \h </w:instrText>
        </w:r>
        <w:r>
          <w:fldChar w:fldCharType="separate"/>
        </w:r>
        <w:r>
          <w:t>876</w:t>
        </w:r>
        <w:r>
          <w:fldChar w:fldCharType="end"/>
        </w:r>
      </w:hyperlink>
    </w:p>
    <w:p>
      <w:pPr>
        <w:pStyle w:val="TOC1"/>
        <w:rPr>
          <w:rFonts w:ascii="Calibri" w:hAnsi="Calibri"/>
          <w:noProof/>
          <w:sz w:val="22"/>
        </w:rPr>
      </w:pPr>
      <w:hyperlink w:anchor="_Toc256000238"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_Toc256000238 \h </w:instrText>
        </w:r>
        <w:r>
          <w:fldChar w:fldCharType="separate"/>
        </w:r>
        <w:r>
          <w:t>880</w:t>
        </w:r>
        <w:r>
          <w:fldChar w:fldCharType="end"/>
        </w:r>
      </w:hyperlink>
    </w:p>
    <w:p>
      <w:pPr>
        <w:pStyle w:val="TOC2"/>
        <w:rPr>
          <w:rFonts w:ascii="Calibri" w:hAnsi="Calibri"/>
          <w:noProof/>
          <w:sz w:val="22"/>
        </w:rPr>
      </w:pPr>
      <w:hyperlink w:anchor="_Toc256000239"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_Toc256000239 \h </w:instrText>
        </w:r>
        <w:r>
          <w:fldChar w:fldCharType="separate"/>
        </w:r>
        <w:r>
          <w:t>880</w:t>
        </w:r>
        <w:r>
          <w:fldChar w:fldCharType="end"/>
        </w:r>
      </w:hyperlink>
    </w:p>
    <w:p>
      <w:pPr>
        <w:pStyle w:val="TOC3"/>
        <w:rPr>
          <w:rFonts w:ascii="Calibri" w:hAnsi="Calibri"/>
          <w:noProof/>
          <w:sz w:val="22"/>
        </w:rPr>
      </w:pPr>
      <w:hyperlink w:anchor="_Toc256000240"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_Toc256000240 \h </w:instrText>
        </w:r>
        <w:r>
          <w:fldChar w:fldCharType="separate"/>
        </w:r>
        <w:r>
          <w:t>880</w:t>
        </w:r>
        <w:r>
          <w:fldChar w:fldCharType="end"/>
        </w:r>
      </w:hyperlink>
    </w:p>
    <w:p>
      <w:pPr>
        <w:pStyle w:val="TOC3"/>
        <w:rPr>
          <w:rFonts w:ascii="Calibri" w:hAnsi="Calibri"/>
          <w:noProof/>
          <w:sz w:val="22"/>
        </w:rPr>
      </w:pPr>
      <w:hyperlink w:anchor="_Toc256000241"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_Toc256000241 \h </w:instrText>
        </w:r>
        <w:r>
          <w:fldChar w:fldCharType="separate"/>
        </w:r>
        <w:r>
          <w:t>880</w:t>
        </w:r>
        <w:r>
          <w:fldChar w:fldCharType="end"/>
        </w:r>
      </w:hyperlink>
    </w:p>
    <w:p>
      <w:pPr>
        <w:pStyle w:val="TOC2"/>
        <w:rPr>
          <w:rFonts w:ascii="Calibri" w:hAnsi="Calibri"/>
          <w:noProof/>
          <w:sz w:val="22"/>
        </w:rPr>
      </w:pPr>
      <w:hyperlink w:anchor="_Toc256000242"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_Toc256000242 \h </w:instrText>
        </w:r>
        <w:r>
          <w:fldChar w:fldCharType="separate"/>
        </w:r>
        <w:r>
          <w:t>880</w:t>
        </w:r>
        <w:r>
          <w:fldChar w:fldCharType="end"/>
        </w:r>
      </w:hyperlink>
    </w:p>
    <w:p>
      <w:pPr>
        <w:pStyle w:val="TOC3"/>
        <w:rPr>
          <w:rFonts w:ascii="Calibri" w:hAnsi="Calibri"/>
          <w:noProof/>
          <w:sz w:val="22"/>
        </w:rPr>
      </w:pPr>
      <w:hyperlink w:anchor="_Toc256000243"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_Toc256000243 \h </w:instrText>
        </w:r>
        <w:r>
          <w:fldChar w:fldCharType="separate"/>
        </w:r>
        <w:r>
          <w:t>880</w:t>
        </w:r>
        <w:r>
          <w:fldChar w:fldCharType="end"/>
        </w:r>
      </w:hyperlink>
    </w:p>
    <w:p>
      <w:pPr>
        <w:pStyle w:val="TOC3"/>
        <w:rPr>
          <w:rFonts w:ascii="Calibri" w:hAnsi="Calibri"/>
          <w:noProof/>
          <w:sz w:val="22"/>
        </w:rPr>
      </w:pPr>
      <w:hyperlink w:anchor="_Toc256000244"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_Toc256000244 \h </w:instrText>
        </w:r>
        <w:r>
          <w:fldChar w:fldCharType="separate"/>
        </w:r>
        <w:r>
          <w:t>880</w:t>
        </w:r>
        <w:r>
          <w:fldChar w:fldCharType="end"/>
        </w:r>
      </w:hyperlink>
    </w:p>
    <w:p>
      <w:pPr>
        <w:pStyle w:val="TOC2"/>
        <w:rPr>
          <w:rFonts w:ascii="Calibri" w:hAnsi="Calibri"/>
          <w:noProof/>
          <w:sz w:val="22"/>
        </w:rPr>
      </w:pPr>
      <w:hyperlink w:anchor="_Toc256000245"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_Toc256000245 \h </w:instrText>
        </w:r>
        <w:r>
          <w:fldChar w:fldCharType="separate"/>
        </w:r>
        <w:r>
          <w:t>881</w:t>
        </w:r>
        <w:r>
          <w:fldChar w:fldCharType="end"/>
        </w:r>
      </w:hyperlink>
    </w:p>
    <w:p>
      <w:pPr>
        <w:pStyle w:val="TOC3"/>
        <w:rPr>
          <w:rFonts w:ascii="Calibri" w:hAnsi="Calibri"/>
          <w:noProof/>
          <w:sz w:val="22"/>
        </w:rPr>
      </w:pPr>
      <w:hyperlink w:anchor="_Toc256000246"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_Toc256000246 \h </w:instrText>
        </w:r>
        <w:r>
          <w:fldChar w:fldCharType="separate"/>
        </w:r>
        <w:r>
          <w:t>881</w:t>
        </w:r>
        <w:r>
          <w:fldChar w:fldCharType="end"/>
        </w:r>
      </w:hyperlink>
    </w:p>
    <w:p>
      <w:pPr>
        <w:pStyle w:val="TOC3"/>
        <w:rPr>
          <w:rFonts w:ascii="Calibri" w:hAnsi="Calibri"/>
          <w:noProof/>
          <w:sz w:val="22"/>
        </w:rPr>
      </w:pPr>
      <w:hyperlink w:anchor="_Toc256000247"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_Toc256000247 \h </w:instrText>
        </w:r>
        <w:r>
          <w:fldChar w:fldCharType="separate"/>
        </w:r>
        <w:r>
          <w:t>881</w:t>
        </w:r>
        <w:r>
          <w:fldChar w:fldCharType="end"/>
        </w:r>
      </w:hyperlink>
    </w:p>
    <w:p>
      <w:pPr>
        <w:pStyle w:val="TOC2"/>
        <w:rPr>
          <w:rFonts w:ascii="Calibri" w:hAnsi="Calibri"/>
          <w:noProof/>
          <w:sz w:val="22"/>
        </w:rPr>
      </w:pPr>
      <w:hyperlink w:anchor="_Toc256000248"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_Toc256000248 \h </w:instrText>
        </w:r>
        <w:r>
          <w:fldChar w:fldCharType="separate"/>
        </w:r>
        <w:r>
          <w:t>881</w:t>
        </w:r>
        <w:r>
          <w:fldChar w:fldCharType="end"/>
        </w:r>
      </w:hyperlink>
    </w:p>
    <w:p>
      <w:pPr>
        <w:pStyle w:val="TOC3"/>
        <w:rPr>
          <w:rFonts w:ascii="Calibri" w:hAnsi="Calibri"/>
          <w:noProof/>
          <w:sz w:val="22"/>
        </w:rPr>
      </w:pPr>
      <w:hyperlink w:anchor="_Toc256000249"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_Toc256000249 \h </w:instrText>
        </w:r>
        <w:r>
          <w:fldChar w:fldCharType="separate"/>
        </w:r>
        <w:r>
          <w:t>881</w:t>
        </w:r>
        <w:r>
          <w:fldChar w:fldCharType="end"/>
        </w:r>
      </w:hyperlink>
    </w:p>
    <w:p>
      <w:pPr>
        <w:pStyle w:val="TOC3"/>
        <w:rPr>
          <w:rFonts w:ascii="Calibri" w:hAnsi="Calibri"/>
          <w:noProof/>
          <w:sz w:val="22"/>
        </w:rPr>
      </w:pPr>
      <w:hyperlink w:anchor="_Toc256000250"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_Toc256000250 \h </w:instrText>
        </w:r>
        <w:r>
          <w:fldChar w:fldCharType="separate"/>
        </w:r>
        <w:r>
          <w:t>881</w:t>
        </w:r>
        <w:r>
          <w:fldChar w:fldCharType="end"/>
        </w:r>
      </w:hyperlink>
    </w:p>
    <w:p>
      <w:pPr>
        <w:pStyle w:val="TOC2"/>
        <w:rPr>
          <w:rFonts w:ascii="Calibri" w:hAnsi="Calibri"/>
          <w:noProof/>
          <w:sz w:val="22"/>
        </w:rPr>
      </w:pPr>
      <w:hyperlink w:anchor="_Toc256000251"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_Toc256000251 \h </w:instrText>
        </w:r>
        <w:r>
          <w:fldChar w:fldCharType="separate"/>
        </w:r>
        <w:r>
          <w:t>882</w:t>
        </w:r>
        <w:r>
          <w:fldChar w:fldCharType="end"/>
        </w:r>
      </w:hyperlink>
    </w:p>
    <w:p>
      <w:pPr>
        <w:pStyle w:val="TOC3"/>
        <w:rPr>
          <w:rFonts w:ascii="Calibri" w:hAnsi="Calibri"/>
          <w:noProof/>
          <w:sz w:val="22"/>
        </w:rPr>
      </w:pPr>
      <w:hyperlink w:anchor="_Toc256000252"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_Toc256000252 \h </w:instrText>
        </w:r>
        <w:r>
          <w:fldChar w:fldCharType="separate"/>
        </w:r>
        <w:r>
          <w:t>882</w:t>
        </w:r>
        <w:r>
          <w:fldChar w:fldCharType="end"/>
        </w:r>
      </w:hyperlink>
    </w:p>
    <w:p>
      <w:pPr>
        <w:pStyle w:val="TOC3"/>
        <w:rPr>
          <w:rFonts w:ascii="Calibri" w:hAnsi="Calibri"/>
          <w:noProof/>
          <w:sz w:val="22"/>
        </w:rPr>
      </w:pPr>
      <w:hyperlink w:anchor="_Toc256000253"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_Toc256000253 \h </w:instrText>
        </w:r>
        <w:r>
          <w:fldChar w:fldCharType="separate"/>
        </w:r>
        <w:r>
          <w:t>882</w:t>
        </w:r>
        <w:r>
          <w:fldChar w:fldCharType="end"/>
        </w:r>
      </w:hyperlink>
    </w:p>
    <w:p>
      <w:pPr>
        <w:pStyle w:val="TOC2"/>
        <w:rPr>
          <w:rFonts w:ascii="Calibri" w:hAnsi="Calibri"/>
          <w:noProof/>
          <w:sz w:val="22"/>
        </w:rPr>
      </w:pPr>
      <w:hyperlink w:anchor="_Toc256000254"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_Toc256000254 \h </w:instrText>
        </w:r>
        <w:r>
          <w:fldChar w:fldCharType="separate"/>
        </w:r>
        <w:r>
          <w:t>882</w:t>
        </w:r>
        <w:r>
          <w:fldChar w:fldCharType="end"/>
        </w:r>
      </w:hyperlink>
    </w:p>
    <w:p>
      <w:pPr>
        <w:pStyle w:val="TOC3"/>
        <w:rPr>
          <w:rFonts w:ascii="Calibri" w:hAnsi="Calibri"/>
          <w:noProof/>
          <w:sz w:val="22"/>
        </w:rPr>
      </w:pPr>
      <w:hyperlink w:anchor="_Toc256000255"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_Toc256000255 \h </w:instrText>
        </w:r>
        <w:r>
          <w:fldChar w:fldCharType="separate"/>
        </w:r>
        <w:r>
          <w:t>882</w:t>
        </w:r>
        <w:r>
          <w:fldChar w:fldCharType="end"/>
        </w:r>
      </w:hyperlink>
    </w:p>
    <w:p>
      <w:pPr>
        <w:pStyle w:val="TOC3"/>
        <w:rPr>
          <w:rFonts w:ascii="Calibri" w:hAnsi="Calibri"/>
          <w:noProof/>
          <w:sz w:val="22"/>
        </w:rPr>
      </w:pPr>
      <w:hyperlink w:anchor="_Toc256000256"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_Toc256000256 \h </w:instrText>
        </w:r>
        <w:r>
          <w:fldChar w:fldCharType="separate"/>
        </w:r>
        <w:r>
          <w:t>882</w:t>
        </w:r>
        <w:r>
          <w:fldChar w:fldCharType="end"/>
        </w:r>
      </w:hyperlink>
    </w:p>
    <w:p>
      <w:pPr>
        <w:pStyle w:val="TOC2"/>
        <w:rPr>
          <w:rFonts w:ascii="Calibri" w:hAnsi="Calibri"/>
          <w:noProof/>
          <w:sz w:val="22"/>
        </w:rPr>
      </w:pPr>
      <w:hyperlink w:anchor="_Toc256000257"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_Toc256000257 \h </w:instrText>
        </w:r>
        <w:r>
          <w:fldChar w:fldCharType="separate"/>
        </w:r>
        <w:r>
          <w:t>882</w:t>
        </w:r>
        <w:r>
          <w:fldChar w:fldCharType="end"/>
        </w:r>
      </w:hyperlink>
    </w:p>
    <w:p>
      <w:pPr>
        <w:pStyle w:val="TOC1"/>
        <w:rPr>
          <w:rFonts w:ascii="Calibri" w:hAnsi="Calibri"/>
          <w:noProof/>
          <w:sz w:val="22"/>
        </w:rPr>
      </w:pPr>
      <w:hyperlink w:anchor="_Toc256000258"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_Toc256000258 \h </w:instrText>
        </w:r>
        <w:r>
          <w:fldChar w:fldCharType="separate"/>
        </w:r>
        <w:r>
          <w:t>886</w:t>
        </w:r>
        <w:r>
          <w:fldChar w:fldCharType="end"/>
        </w:r>
      </w:hyperlink>
    </w:p>
    <w:p>
      <w:pPr>
        <w:pStyle w:val="TOC2"/>
        <w:rPr>
          <w:rFonts w:ascii="Calibri" w:hAnsi="Calibri"/>
          <w:noProof/>
          <w:sz w:val="22"/>
        </w:rPr>
      </w:pPr>
      <w:hyperlink w:anchor="_Toc256000259"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_Toc256000259 \h </w:instrText>
        </w:r>
        <w:r>
          <w:fldChar w:fldCharType="separate"/>
        </w:r>
        <w:r>
          <w:t>886</w:t>
        </w:r>
        <w:r>
          <w:fldChar w:fldCharType="end"/>
        </w:r>
      </w:hyperlink>
    </w:p>
    <w:p>
      <w:pPr>
        <w:pStyle w:val="TOC2"/>
        <w:rPr>
          <w:rFonts w:ascii="Calibri" w:hAnsi="Calibri"/>
          <w:noProof/>
          <w:sz w:val="22"/>
        </w:rPr>
      </w:pPr>
      <w:hyperlink w:anchor="_Toc256000260"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_Toc256000260 \h </w:instrText>
        </w:r>
        <w:r>
          <w:fldChar w:fldCharType="separate"/>
        </w:r>
        <w:r>
          <w:t>886</w:t>
        </w:r>
        <w:r>
          <w:fldChar w:fldCharType="end"/>
        </w:r>
      </w:hyperlink>
    </w:p>
    <w:p>
      <w:pPr>
        <w:pStyle w:val="TOC2"/>
        <w:rPr>
          <w:rFonts w:ascii="Calibri" w:hAnsi="Calibri"/>
          <w:noProof/>
          <w:sz w:val="22"/>
        </w:rPr>
      </w:pPr>
      <w:hyperlink w:anchor="_Toc256000261"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_Toc256000261 \h </w:instrText>
        </w:r>
        <w:r>
          <w:fldChar w:fldCharType="separate"/>
        </w:r>
        <w:r>
          <w:t>888</w:t>
        </w:r>
        <w:r>
          <w:fldChar w:fldCharType="end"/>
        </w:r>
      </w:hyperlink>
    </w:p>
    <w:p>
      <w:pPr>
        <w:pStyle w:val="TOC2"/>
        <w:rPr>
          <w:rFonts w:ascii="Calibri" w:hAnsi="Calibri"/>
          <w:noProof/>
          <w:sz w:val="22"/>
        </w:rPr>
      </w:pPr>
      <w:hyperlink w:anchor="_Toc256000262"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_Toc256000262 \h </w:instrText>
        </w:r>
        <w:r>
          <w:fldChar w:fldCharType="separate"/>
        </w:r>
        <w:r>
          <w:t>894</w:t>
        </w:r>
        <w:r>
          <w:fldChar w:fldCharType="end"/>
        </w:r>
      </w:hyperlink>
    </w:p>
    <w:p>
      <w:pPr>
        <w:pStyle w:val="TOC1"/>
        <w:rPr>
          <w:rFonts w:ascii="Calibri" w:hAnsi="Calibri"/>
          <w:noProof/>
          <w:sz w:val="22"/>
        </w:rPr>
      </w:pPr>
      <w:hyperlink w:anchor="_Toc256000263"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_Toc256000263 \h </w:instrText>
        </w:r>
        <w:r>
          <w:fldChar w:fldCharType="separate"/>
        </w:r>
        <w:r>
          <w:t>895</w:t>
        </w:r>
        <w:r>
          <w:fldChar w:fldCharType="end"/>
        </w:r>
      </w:hyperlink>
    </w:p>
    <w:p>
      <w:pPr>
        <w:pStyle w:val="TOC2"/>
        <w:rPr>
          <w:rFonts w:ascii="Calibri" w:hAnsi="Calibri"/>
          <w:noProof/>
          <w:sz w:val="22"/>
        </w:rPr>
      </w:pPr>
      <w:hyperlink w:anchor="_Toc256000264"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_Toc256000264 \h </w:instrText>
        </w:r>
        <w:r>
          <w:fldChar w:fldCharType="separate"/>
        </w:r>
        <w:r>
          <w:t>895</w:t>
        </w:r>
        <w:r>
          <w:fldChar w:fldCharType="end"/>
        </w:r>
      </w:hyperlink>
    </w:p>
    <w:p>
      <w:pPr>
        <w:pStyle w:val="TOC2"/>
        <w:rPr>
          <w:rFonts w:ascii="Calibri" w:hAnsi="Calibri"/>
          <w:noProof/>
          <w:sz w:val="22"/>
        </w:rPr>
      </w:pPr>
      <w:hyperlink w:anchor="_Toc256000265"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_Toc256000265 \h </w:instrText>
        </w:r>
        <w:r>
          <w:fldChar w:fldCharType="separate"/>
        </w:r>
        <w:r>
          <w:t>896</w:t>
        </w:r>
        <w:r>
          <w:fldChar w:fldCharType="end"/>
        </w:r>
      </w:hyperlink>
    </w:p>
    <w:p>
      <w:pPr>
        <w:pStyle w:val="TOC1"/>
        <w:rPr>
          <w:rFonts w:ascii="Calibri" w:hAnsi="Calibri"/>
          <w:noProof/>
          <w:sz w:val="22"/>
        </w:rPr>
      </w:pPr>
      <w:hyperlink w:anchor="_Toc256000266"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_Toc256000266 \h </w:instrText>
        </w:r>
        <w:r>
          <w:fldChar w:fldCharType="separate"/>
        </w:r>
        <w:r>
          <w:t>899</w:t>
        </w:r>
        <w:r>
          <w:fldChar w:fldCharType="end"/>
        </w:r>
      </w:hyperlink>
    </w:p>
    <w:p>
      <w:pPr>
        <w:pStyle w:val="TOC2"/>
        <w:rPr>
          <w:rFonts w:ascii="Calibri" w:hAnsi="Calibri"/>
          <w:noProof/>
          <w:sz w:val="22"/>
        </w:rPr>
      </w:pPr>
      <w:hyperlink w:anchor="_Toc256000267"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_Toc256000267 \h </w:instrText>
        </w:r>
        <w:r>
          <w:fldChar w:fldCharType="separate"/>
        </w:r>
        <w:r>
          <w:t>899</w:t>
        </w:r>
        <w:r>
          <w:fldChar w:fldCharType="end"/>
        </w:r>
      </w:hyperlink>
    </w:p>
    <w:p>
      <w:pPr>
        <w:pStyle w:val="TOC2"/>
        <w:rPr>
          <w:rFonts w:ascii="Calibri" w:hAnsi="Calibri"/>
          <w:noProof/>
          <w:sz w:val="22"/>
        </w:rPr>
      </w:pPr>
      <w:hyperlink w:anchor="_Toc256000268"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_Toc256000268 \h </w:instrText>
        </w:r>
        <w:r>
          <w:fldChar w:fldCharType="separate"/>
        </w:r>
        <w:r>
          <w:t>901</w:t>
        </w:r>
        <w:r>
          <w:fldChar w:fldCharType="end"/>
        </w:r>
      </w:hyperlink>
    </w:p>
    <w:p>
      <w:pPr>
        <w:pStyle w:val="TOC1"/>
        <w:rPr>
          <w:rFonts w:ascii="Calibri" w:hAnsi="Calibri"/>
          <w:noProof/>
          <w:sz w:val="22"/>
        </w:rPr>
      </w:pPr>
      <w:hyperlink w:anchor="_Toc256000269"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_Toc256000269 \h </w:instrText>
        </w:r>
        <w:r>
          <w:fldChar w:fldCharType="separate"/>
        </w:r>
        <w:r>
          <w:t>903</w:t>
        </w:r>
        <w:r>
          <w:fldChar w:fldCharType="end"/>
        </w:r>
      </w:hyperlink>
    </w:p>
    <w:p>
      <w:pPr>
        <w:pStyle w:val="TOC2"/>
        <w:rPr>
          <w:rFonts w:ascii="Calibri" w:hAnsi="Calibri"/>
          <w:noProof/>
          <w:sz w:val="22"/>
        </w:rPr>
      </w:pPr>
      <w:hyperlink w:anchor="_Toc256000270" w:history="1">
        <w:r>
          <w:rPr>
            <w:rStyle w:val="Hyperlink"/>
          </w:rPr>
          <w:t>Документи</w:t>
        </w:r>
        <w:r>
          <w:tab/>
        </w:r>
        <w:r>
          <w:fldChar w:fldCharType="begin"/>
        </w:r>
        <w:r>
          <w:instrText xml:space="preserve"> PAGEREF _Toc256000270 \h </w:instrText>
        </w:r>
        <w:r>
          <w:fldChar w:fldCharType="separate"/>
        </w:r>
        <w:r>
          <w:t>904</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г. Решение по член 11, буква б), втора алинея</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numPr>
                <w:numId w:val="21"/>
              </w:numPr>
              <w:rPr>
                <w:b w:val="0"/>
              </w:rPr>
            </w:pPr>
            <w:r>
              <w:rPr>
                <w:b w:val="0"/>
              </w:rPr>
              <w:t>а. Неотложни мерки</w:t>
            </w: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28-10-2022</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11.11.202</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Четиринадесето изменение на ПРСР 2014-2020</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2014-2020 г. разработи и предвижда стартиране на извънредна мярка, която, съгласно Регламент (ЕС) 2022/1033 на Европейския парламент и на Съвета от 29 юни 2022 година, ще даде възможност на държавите-членки да използват наличните средства по своите съществуващи програми за развитие на селските райони, включително за периода 2021-2022 г., за да подкрепят земеделските производители и МСП, особено засегнати от кризата в Украйна – като предвидените средства за тази мярка са в размер до 33 млн. евро общо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получена информация от ДФЗ-РА относно налични остатъчни средства по някои от подмерките на ПРСР 2014-2020, във връзка с обезпечаването на финансов ресурс за всичко гореизложено, предложението за прехвърляне на средства е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w:t>
            </w:r>
          </w:p>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010"/>
              <w:gridCol w:w="1401"/>
              <w:gridCol w:w="2103"/>
              <w:gridCol w:w="2162"/>
              <w:gridCol w:w="1744"/>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918"/>
              </w:trPr>
              <w:tc>
                <w:tcPr>
                  <w:tcW w:w="2039" w:type="pct"/>
                  <w:tcBorders>
                    <w:bottom w:val="inset" w:sz="6" w:space="0" w:color="808080"/>
                    <w:right w:val="inset" w:sz="6" w:space="0" w:color="808080"/>
                  </w:tcBorders>
                  <w:shd w:val="clear" w:color="auto" w:fill="EBF1DE"/>
                  <w:noWrap w:val="0"/>
                  <w:tcMar>
                    <w:top w:w="25"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Предложение за прехвърляне на средства между мерки/подмерки от ПРСР 2014-2020</w:t>
                  </w:r>
                </w:p>
              </w:tc>
              <w:tc>
                <w:tcPr>
                  <w:tcW w:w="693"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Текущ индикативен бюджет, евро публични средства (13то изменение)</w:t>
                  </w:r>
                </w:p>
              </w:tc>
              <w:tc>
                <w:tcPr>
                  <w:tcW w:w="691"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Предложение за извеждане/добавяне евро ЕЗФРСР</w:t>
                  </w:r>
                </w:p>
              </w:tc>
              <w:tc>
                <w:tcPr>
                  <w:tcW w:w="616" w:type="pct"/>
                  <w:tcBorders>
                    <w:left w:val="inset" w:sz="6" w:space="0" w:color="808080"/>
                    <w:bottom w:val="inset" w:sz="6" w:space="0" w:color="808080"/>
                    <w:right w:val="inset" w:sz="6" w:space="0" w:color="808080"/>
                  </w:tcBorders>
                  <w:shd w:val="clear" w:color="auto" w:fill="EBF1DE"/>
                  <w:noWrap w:val="0"/>
                  <w:tcMar>
                    <w:top w:w="25"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Предложение за извеждане/добавяне, евро публични средства</w:t>
                  </w:r>
                </w:p>
              </w:tc>
              <w:tc>
                <w:tcPr>
                  <w:tcW w:w="961" w:type="pct"/>
                  <w:tcBorders>
                    <w:left w:val="inset" w:sz="6" w:space="0" w:color="808080"/>
                    <w:bottom w:val="inset" w:sz="6" w:space="0" w:color="808080"/>
                  </w:tcBorders>
                  <w:shd w:val="clear" w:color="auto" w:fill="EBF1DE"/>
                  <w:noWrap w:val="0"/>
                  <w:tcMar>
                    <w:top w:w="25"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Oбщо индикативен бюджет на подмерките с допълнително разпределени публични средства  - след добавяне на предложените</w:t>
                  </w:r>
                </w:p>
              </w:tc>
            </w:tr>
            <w:tr>
              <w:tblPrEx>
                <w:tblW w:w="5000" w:type="pct"/>
                <w:tblCellMar>
                  <w:top w:w="15" w:type="dxa"/>
                  <w:left w:w="15" w:type="dxa"/>
                  <w:bottom w:w="15" w:type="dxa"/>
                  <w:right w:w="15" w:type="dxa"/>
                </w:tblCellMar>
                <w:tblLook w:val="05E0"/>
              </w:tblPrEx>
              <w:trPr>
                <w:trHeight w:val="735"/>
              </w:trPr>
              <w:tc>
                <w:tcPr>
                  <w:tcW w:w="20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7.6. Проучвания и инвестиции, свързани с поддържане, възстановяване и подобряване на културното и природното наследство на селата.</w:t>
                  </w:r>
                </w:p>
              </w:tc>
              <w:tc>
                <w:tcPr>
                  <w:tcW w:w="69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60 830 000</w:t>
                  </w:r>
                </w:p>
              </w:tc>
              <w:tc>
                <w:tcPr>
                  <w:tcW w:w="6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-3 792 513</w:t>
                  </w:r>
                </w:p>
              </w:tc>
              <w:tc>
                <w:tcPr>
                  <w:tcW w:w="6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-4 461 780</w:t>
                  </w:r>
                </w:p>
              </w:tc>
              <w:tc>
                <w:tcPr>
                  <w:tcW w:w="961"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56 368 220</w:t>
                  </w:r>
                </w:p>
              </w:tc>
            </w:tr>
            <w:tr>
              <w:tblPrEx>
                <w:tblW w:w="5000" w:type="pct"/>
                <w:tblCellMar>
                  <w:top w:w="15" w:type="dxa"/>
                  <w:left w:w="15" w:type="dxa"/>
                  <w:bottom w:w="15" w:type="dxa"/>
                  <w:right w:w="15" w:type="dxa"/>
                </w:tblCellMar>
                <w:tblLook w:val="05E0"/>
              </w:tblPrEx>
              <w:trPr>
                <w:trHeight w:val="300"/>
              </w:trPr>
              <w:tc>
                <w:tcPr>
                  <w:tcW w:w="20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Мярка 11 "Биологично земеделие"</w:t>
                  </w:r>
                </w:p>
              </w:tc>
              <w:tc>
                <w:tcPr>
                  <w:tcW w:w="69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245 943 439</w:t>
                  </w:r>
                </w:p>
              </w:tc>
              <w:tc>
                <w:tcPr>
                  <w:tcW w:w="6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-9 000 000</w:t>
                  </w:r>
                </w:p>
              </w:tc>
              <w:tc>
                <w:tcPr>
                  <w:tcW w:w="6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-12 000 000</w:t>
                  </w:r>
                </w:p>
              </w:tc>
              <w:tc>
                <w:tcPr>
                  <w:tcW w:w="961"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233 943 439</w:t>
                  </w:r>
                </w:p>
              </w:tc>
            </w:tr>
            <w:tr>
              <w:tblPrEx>
                <w:tblW w:w="5000" w:type="pct"/>
                <w:tblCellMar>
                  <w:top w:w="15" w:type="dxa"/>
                  <w:left w:w="15" w:type="dxa"/>
                  <w:bottom w:w="15" w:type="dxa"/>
                  <w:right w:w="15" w:type="dxa"/>
                </w:tblCellMar>
                <w:tblLook w:val="05E0"/>
              </w:tblPrEx>
              <w:trPr>
                <w:trHeight w:val="495"/>
              </w:trPr>
              <w:tc>
                <w:tcPr>
                  <w:tcW w:w="20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Мярка 13 „Плащания за райони,изправени пред природни или други специфични ограничения“</w:t>
                  </w:r>
                </w:p>
              </w:tc>
              <w:tc>
                <w:tcPr>
                  <w:tcW w:w="69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391 414 675</w:t>
                  </w:r>
                </w:p>
              </w:tc>
              <w:tc>
                <w:tcPr>
                  <w:tcW w:w="6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-5 700 000</w:t>
                  </w:r>
                </w:p>
              </w:tc>
              <w:tc>
                <w:tcPr>
                  <w:tcW w:w="6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-7 600 000</w:t>
                  </w:r>
                </w:p>
              </w:tc>
              <w:tc>
                <w:tcPr>
                  <w:tcW w:w="961"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383 814 675</w:t>
                  </w:r>
                </w:p>
              </w:tc>
            </w:tr>
            <w:tr>
              <w:tblPrEx>
                <w:tblW w:w="5000" w:type="pct"/>
                <w:tblCellMar>
                  <w:top w:w="15" w:type="dxa"/>
                  <w:left w:w="15" w:type="dxa"/>
                  <w:bottom w:w="15" w:type="dxa"/>
                  <w:right w:w="15" w:type="dxa"/>
                </w:tblCellMar>
                <w:tblLook w:val="05E0"/>
              </w:tblPrEx>
              <w:trPr>
                <w:trHeight w:val="735"/>
              </w:trPr>
              <w:tc>
                <w:tcPr>
                  <w:tcW w:w="20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21.1 -  "Изключителна и временна подкрепа за земеделските стопани COVID 1 ", Подмярка 21.2 -  "Изключителна и временна подкрепа за земеделските стопани COVID 2 "</w:t>
                  </w:r>
                </w:p>
              </w:tc>
              <w:tc>
                <w:tcPr>
                  <w:tcW w:w="69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44 461 947</w:t>
                  </w:r>
                </w:p>
              </w:tc>
              <w:tc>
                <w:tcPr>
                  <w:tcW w:w="6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-5 290 791</w:t>
                  </w:r>
                </w:p>
              </w:tc>
              <w:tc>
                <w:tcPr>
                  <w:tcW w:w="6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-6 224 460</w:t>
                  </w:r>
                </w:p>
              </w:tc>
              <w:tc>
                <w:tcPr>
                  <w:tcW w:w="961"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38 237 487</w:t>
                  </w:r>
                </w:p>
              </w:tc>
            </w:tr>
            <w:tr>
              <w:tblPrEx>
                <w:tblW w:w="5000" w:type="pct"/>
                <w:tblCellMar>
                  <w:top w:w="15" w:type="dxa"/>
                  <w:left w:w="15" w:type="dxa"/>
                  <w:bottom w:w="15" w:type="dxa"/>
                  <w:right w:w="15" w:type="dxa"/>
                </w:tblCellMar>
                <w:tblLook w:val="05E0"/>
              </w:tblPrEx>
              <w:trPr>
                <w:trHeight w:val="495"/>
              </w:trPr>
              <w:tc>
                <w:tcPr>
                  <w:tcW w:w="20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21.3 -  "Изключителна и временна подкрепа за МСП  и групи и организации на производители COVID 3 "</w:t>
                  </w:r>
                </w:p>
              </w:tc>
              <w:tc>
                <w:tcPr>
                  <w:tcW w:w="69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3 900 000</w:t>
                  </w:r>
                </w:p>
              </w:tc>
              <w:tc>
                <w:tcPr>
                  <w:tcW w:w="6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-16 696</w:t>
                  </w:r>
                </w:p>
              </w:tc>
              <w:tc>
                <w:tcPr>
                  <w:tcW w:w="6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-19 642</w:t>
                  </w:r>
                </w:p>
              </w:tc>
              <w:tc>
                <w:tcPr>
                  <w:tcW w:w="961"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3 880 358</w:t>
                  </w:r>
                </w:p>
              </w:tc>
            </w:tr>
            <w:tr>
              <w:tblPrEx>
                <w:tblW w:w="5000" w:type="pct"/>
                <w:tblCellMar>
                  <w:top w:w="15" w:type="dxa"/>
                  <w:left w:w="15" w:type="dxa"/>
                  <w:bottom w:w="15" w:type="dxa"/>
                  <w:right w:w="15" w:type="dxa"/>
                </w:tblCellMar>
                <w:tblLook w:val="05E0"/>
              </w:tblPrEx>
              <w:trPr>
                <w:trHeight w:val="300"/>
              </w:trPr>
              <w:tc>
                <w:tcPr>
                  <w:tcW w:w="2039" w:type="pct"/>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Подмярка 22.1 „Извънредно временно подпомагане за земеделски стопани, които са особено засегнати от последиците от руското нашествие в Украйна“- ФО 2А</w:t>
                  </w:r>
                </w:p>
              </w:tc>
              <w:tc>
                <w:tcPr>
                  <w:tcW w:w="693"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0</w:t>
                  </w:r>
                </w:p>
              </w:tc>
              <w:tc>
                <w:tcPr>
                  <w:tcW w:w="691"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iCs/>
                      <w:smallCaps w:val="0"/>
                      <w:color w:val="000000"/>
                      <w:szCs w:val="24"/>
                    </w:rPr>
                    <w:t>23 800 000</w:t>
                  </w:r>
                </w:p>
              </w:tc>
              <w:tc>
                <w:tcPr>
                  <w:tcW w:w="616" w:type="pct"/>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28 000 000</w:t>
                  </w:r>
                </w:p>
              </w:tc>
              <w:tc>
                <w:tcPr>
                  <w:tcW w:w="961" w:type="pct"/>
                  <w:tcBorders>
                    <w:top w:val="inset" w:sz="6" w:space="0" w:color="808080"/>
                    <w:left w:val="inset" w:sz="6" w:space="0" w:color="808080"/>
                    <w:bottom w:val="inset" w:sz="6" w:space="0" w:color="808080"/>
                  </w:tcBorders>
                  <w:noWrap w:val="0"/>
                  <w:tcMar>
                    <w:top w:w="22" w:type="dxa"/>
                    <w:left w:w="22"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28 000 000</w:t>
                  </w:r>
                </w:p>
              </w:tc>
            </w:tr>
            <w:tr>
              <w:tblPrEx>
                <w:tblW w:w="5000" w:type="pct"/>
                <w:tblCellMar>
                  <w:top w:w="15" w:type="dxa"/>
                  <w:left w:w="15" w:type="dxa"/>
                  <w:bottom w:w="15" w:type="dxa"/>
                  <w:right w:w="15" w:type="dxa"/>
                </w:tblCellMar>
                <w:tblLook w:val="05E0"/>
              </w:tblPrEx>
              <w:trPr>
                <w:trHeight w:val="300"/>
              </w:trPr>
              <w:tc>
                <w:tcPr>
                  <w:tcW w:w="2039" w:type="pct"/>
                  <w:tcBorders>
                    <w:top w:val="inset" w:sz="6" w:space="0" w:color="808080"/>
                    <w:right w:val="inset" w:sz="6" w:space="0" w:color="808080"/>
                  </w:tcBorders>
                  <w:shd w:val="clear" w:color="auto" w:fill="EBF1DE"/>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Общо</w:t>
                  </w:r>
                </w:p>
              </w:tc>
              <w:tc>
                <w:tcPr>
                  <w:tcW w:w="693"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951 226 098</w:t>
                  </w:r>
                </w:p>
              </w:tc>
              <w:tc>
                <w:tcPr>
                  <w:tcW w:w="691"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0</w:t>
                  </w:r>
                </w:p>
              </w:tc>
              <w:tc>
                <w:tcPr>
                  <w:tcW w:w="616" w:type="pct"/>
                  <w:tcBorders>
                    <w:top w:val="inset" w:sz="6" w:space="0" w:color="808080"/>
                    <w:left w:val="inset" w:sz="6" w:space="0" w:color="808080"/>
                    <w:right w:val="inset" w:sz="6" w:space="0" w:color="808080"/>
                  </w:tcBorders>
                  <w:shd w:val="clear" w:color="auto" w:fill="EBF1DE"/>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-2 305 882</w:t>
                  </w:r>
                </w:p>
              </w:tc>
              <w:tc>
                <w:tcPr>
                  <w:tcW w:w="961" w:type="pct"/>
                  <w:tcBorders>
                    <w:top w:val="inset" w:sz="6" w:space="0" w:color="808080"/>
                    <w:left w:val="inset" w:sz="6" w:space="0" w:color="808080"/>
                  </w:tcBorders>
                  <w:shd w:val="clear" w:color="auto" w:fill="EBF1DE"/>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iCs/>
                      <w:smallCaps w:val="0"/>
                      <w:color w:val="000000"/>
                      <w:szCs w:val="24"/>
                    </w:rPr>
                    <w:t>948 920 216</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I. Извеждане на средства с цел осигуряване на ресурс, и прехвърляне на такива между фокус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 Остатъчни средства, </w:t>
            </w:r>
            <w:r>
              <w:rPr>
                <w:rFonts w:ascii="Times New Roman" w:eastAsia="Times New Roman" w:hAnsi="Times New Roman" w:cs="Times New Roman"/>
                <w:szCs w:val="24"/>
              </w:rPr>
              <w:t>предложени за извеждане от Подмярка 7.6 „Проучвания и инвестиции, свързани с поддържане, възстановяване и подобряване на културното и природното наследство на селата“.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7.6 „Проучвания и инвестиции, свързани с поддържане, възстановяване и подобряване на културното и природното наследство на селата“ е с текущ бюджет 60 830 000 евро публични средства, като до момента са проведени два приема, през 2016 и 2020 г. Общо договорените средства са в размер на 22,3 млн. евро публични средства, като в процес на разглеждане са едва 0.2 млн. евро. До края на програмния период не се предвижда следващ прием, предимно поради липса на време за последващо договаряне и изпълнение. Остатъчни средства в размер на 4.46 млн. евро публични средства се предлага да бъдат пренасочени.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Остатъчни средства</w:t>
            </w:r>
            <w:r>
              <w:rPr>
                <w:rFonts w:ascii="Times New Roman" w:eastAsia="Times New Roman" w:hAnsi="Times New Roman" w:cs="Times New Roman"/>
                <w:szCs w:val="24"/>
              </w:rPr>
              <w:t>, предложени за извеждане от мерки с плащане на площ - Мярка 11 „Биологично земеделие“ и Мярка 13 “Плащания за райони,изправени пред природни или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получена информация от ДФЗ-РА, съдържаща подробен прогнозен разчет на средствата, необходими за покриване на всички текущи ангажименти, включително до края на 2025 календарна година, когато приключва разплащането по програмен период 2014-2020, са налице средства, които е възможно да не бъдат усвоени при сегашните нива на заявяване. Следва да се има предвид, че в случай на недостиг на средства в следващите 2 г., такива ще бъдат прехвърлени към съответните мерки с плащане на площ. В допълнение, промяната във финансовите параметри на тези мерки не се предвижда да повлияе на заложените стратегически цели за площ – т.е. показателите за площ не се предвижда да бъдат променяни, тъй като като цяло са постигнати в задоволителна степен, а и не се предвижда заявяване на площи много над текущо заявяваните по тези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w:t>
            </w:r>
            <w:r>
              <w:rPr>
                <w:rFonts w:ascii="Times New Roman" w:eastAsia="Times New Roman" w:hAnsi="Times New Roman" w:cs="Times New Roman"/>
                <w:b/>
                <w:bCs/>
                <w:szCs w:val="24"/>
              </w:rPr>
              <w:t>. Извеждане на средства от Mярка 21 - Извънредно временно подпомагане за земеделските стопани и МСП, които са особено засегнати от извънредното положение във връзка с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След промените, внесени чрез десето изменение на ПРСР 2014-2020 г., Мярка 21 е с бюджет 41 107 655 евро от ЕЗФРСР, или 48 361 947 евро публични средства, който е разпределен между три подмерки:</w:t>
            </w:r>
          </w:p>
          <w:p>
            <w:pPr>
              <w:numPr>
                <w:ilvl w:val="0"/>
                <w:numId w:val="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21.1 „Изключителна и временна подкрепа за земеделските стопани COVID 1“, която осигурява подкрепа, чрез предоставяне на финансова помощ под формата на еднократно платима сума на земеделски стопани, извършващи земеделска дейност в секторите “Растениевъдство”, “Животновъдство” и “Пчеларство”;</w:t>
            </w:r>
          </w:p>
          <w:p>
            <w:pPr>
              <w:numPr>
                <w:ilvl w:val="0"/>
                <w:numId w:val="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21.2 „Изключителна и временна подкрепа за земеделските стопани COVID 2“, която осигурява подкрепа, чрез предоставяне на финансова помощ под формата на еднократно плащане на земеделски стопани, извършващи земеделска дейност в секторите “Птицевъдство”, “Свиневъдство” и “Други селскостопански култури”;</w:t>
            </w:r>
          </w:p>
          <w:p>
            <w:pPr>
              <w:numPr>
                <w:ilvl w:val="0"/>
                <w:numId w:val="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21.3 „Изключителна и временна подкрепа за МСП  и групи и организации на производители COVID 3“, която осигурява подкрепа, чрез еднократна помощ, насочена към малки и средни предприятия и 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Приемите по подмерки 21.1 и 21.2 са проведени в периода 19.8.2020 г. - 21.9.2020 г. (общо за подмерки 21.1 и 21.2), и 17.05.2021 - 04.06.2021 (само за подмярка 21.1), а приемът по подмярка 21.3 е проведен в периода 26.10.2020 г. -  13.11.2020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трите подмерки на мярката са подпомогнати над 30 хиляди земеделски стопани, и над 170 малки/средни предприятия.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Към 31 декември 2021 г. разплатените средства по подмярка 21.1 са в размер на 37 745 811 евро публични средства, по подмярка 21.2 са разплатени суми в размер на 491 676 евро публични средства, а разплатените средства по подмярка 21.3 са в размер на 3 880 357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Общо всички плащания към бенефициенти, извършени по мярката към 31 декември 2021 г. са в размер на 42 117 844 евро публични средства. Тъй като плащания по мярката не са допустими след 31.12.2021 г., остатъчните средства в размер на 6,24 млн. евро се предвижда да бъдат изведени от съответните фокус области, и да бъдат добавени към новоразработената мярка 22, свързана с намаляване последиците от възникналата криза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II. </w:t>
            </w:r>
            <w:r>
              <w:rPr>
                <w:rFonts w:ascii="Times New Roman" w:eastAsia="Times New Roman" w:hAnsi="Times New Roman" w:cs="Times New Roman"/>
                <w:b/>
                <w:bCs/>
                <w:szCs w:val="24"/>
                <w:u w:val="single"/>
              </w:rPr>
              <w:t xml:space="preserve">Въвеждане на Мярка 22 “Извънредно временно подпомагане за земеделски стопани и МСП, които са особено засегнати от последиците от руското нашествие в Украйна“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предприемане на съгласувани мерки на европейско ниво за преодоляване на последиците от военните действия е приет Регламент (ЕС) 2022/1033 на Европейския парламент и на Съвета от 29.06.2022 г. за изменение на Регламент (ЕС) № 1305/2013 във връзка със създаване на условия за прилагане на специална мярка за извънредно временно подпомагане от Европейския земеделски фонд за развитие на селските райони (ЕЗФРСР) в отговор на последиците от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Регламента се дава право на държавите членки да предоставят извънредна временна подкрепа на засегнатите от военния конфликт между Русия и Украйна земеделски стопани и малки и средни предприятия, занимаващи се с преработка, предлагане на пазара или развитие на селскостопански продукти, включени в Приложение I на Договора за функционирането на ЕС, или на памук. Общият размер на финансовия ресурс по мярката не може да превишава 5% от общото участие на ЕЗФРСР в Програмата за развитие на селските райони за периода 2021-2022 г. (ПРСР) или близо 64,5 млн. лева.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изплатена до 15.10.2023 г., въз основа на заявления за подпомагане, одобрени от съответния компетентен орган до 31.03.2023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Съответните фокус области, в които се предвижда да бъдат насочени средствата са аналогични с другата извънредна мярка 21 – за бенефициенти „земеделски стопани“ – фокус област 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 и за бенефициенти МСП – фокус област 6А) „Улесняване на разнообразяването, създаването и развитието на малки предприятия, както и разкриването на работни места“.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Предвижда се подпомагането на около 30 хиляди земеделски стопани, и около 200 преработватели, като съответните стойности ще бъдат въведени като показатели за изпълнение в плана на показателите.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две подмерки в зависимост от вида на допустимите кандидати – земеделски стопани и МСП. Подмярката, насочена към подпомагане на МСП, ще бъде разработена и включена в обхвата на мярка 22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22.1. „Извънредно временно подпомагане за земеделски стопани, които са особено засегнати от последиците от руското нашествие в Украйна“ е разработена за земеделските стопани. Те продължават да бъдат изправени пред изключителни трудности при осъществяване на основната си дейност и в краткосрочен план увеличението на производствените разходи крие риск от свиване на съществуващото производство или дори фалити. Особено уязвими са чувствителните сектори „Растениевъдство“ и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Фокусът на подкрепата по мярката, финансирана от ЕЗФРСР, е насочен към земеделските стопанства, отглеждащи плодове, зеленчуци, винени лозя, слънчоглед, маслодайни рози, култивирани гъби, млечни и месодайни крави, телета за угояване, биволи, овце-майки и кози-майки.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показват, че разходите за производство на плодове и зеленчуци нарастват средно с около 23% през второто тримесечие на 2022 г. спрямо 2021 г. на годишна база, докато цените на продукцията отбелязват увеличение средно с 19,7% през аналогичния период. Тези производствени направления формират отрицателна норма на рентабилност, която в периода април-юни 2022 г. се понижава допълнително със средно 4,9 процентни пункта при зеленчуците и с 3,1 процентни пункта при плодовете.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Лозаро-винарският сектор претърпя значителни загуби вследствие от затварянето на ресторантьорския, хотелиерския и туристическия бизнес в условията на пандемичното разпространение на COVID-19. От една страна, производствените разходи за второто тримесечие на 2022 г. бележат ръст от 25,6%, а от друга страна, е налице несигурност по отношение на изкупуването на винено грозде, свързана с ограничените възможности за реализация на вина на международните пазари. Загубата на пазари на вино в Русия и Беларус за големите производители в ЕС увеличава конкурентния натиск на европейския и на пазарите на трети страни, което води до негативни ефекти и за българския сектор.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Разчетите за стопанствата, отглеждащи слънчоглед, показват нарастване на техните производствени разходи през второто тримесечие на 2022 г. спрямо 2021 г. със средно 48,3%, докато за същия период продукцията поскъпва средно с 46%.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Пазарната конюнктура се отразява особено негативно на малките и средните стопанства, отглеждащи слънчоглед на площ под 150 ха. Данните от Системата за земеделска счетоводна информация показват, че тази категория стопанства правят значително повече разходи за производство на единица продукция, в сравнение с по-големите стопанства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слънчоглед не е в обхвата на държавната помощ за преодоляване на негативното икономическо въздействие на руската агресия срещу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култивирани гъби не получава подкрепа по нито един от прилаганите от България инструменти за преодоляване на негативните последици от руското нашествие в Украйна, финансирани с европейски или национални средства. В същото време ликвидността на земеделските стопани в това направление се влошава в резултат от наложилата се неблагоприятната пазарна ситуация. През второто тримесечие на настоящата година разходите за производство на култивирани гъби са се увеличили с близо 22,2% спрямо 2021 г., докато средната цена на продукцията бележи ръст от 10,3%. Това води до силно намаляване на брутния маржин за производителите и тяхната икономическа стабилност е поставена под реална заплаха.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Сектор „Розопроизводство“ продължава да изпитва трудности, свързани с нестабилност и непредсказуемост на пазарите на розово масло и непрекъснато нарастващи цени на средствата за производство. Общите производствени разходи при отглеждането на маслодайни рози за второто тримесечие на 2022 г. бележат ръст от 21,7% спрямо 2021 г., а разходите за горива, торове и продукти за растителна защита се увеличават с близо 69% за същия период. Военното нашествие в Украйна допълнително дестабилизира пазара на розово масло, ограничава възможностите за реализация на продукцията и потиска изкупните цени на розовия цвят.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Ситуацията в животновъдството не се различава съществено предвид рязкото поскъпване на фуражите, които са основен елемент в производствените разходи в сектора. През второто тримесечие на 2022 г. фуражите поскъпват с 34,3% спрямо 2021 г., при увеличение на цените общо на животновъдната продукция от 22,7%. Всички производствени направления (млечни крави, месодайни крави, биволи, овце-майки и кози майки) формират отрицателна норма на рентабилност на разходите, която за настоящата година се понижава средно с 1,7 процентни пункта спрямо средната рентабилност за 2021 г., до стойност от минус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 чувствителните производства, изпитващи затруднения, е отглеждането на телета мъжки от 6 до 24 месечна възраст. Това направление традиционно се характеризира с ниска ефективност и съществува реален риск от преустановяване на дейност за немалка част от стопанските оператори в него, а пазарната нестабилност в последните месеци задълбочава допълнително съществуващите проблеми.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Отглеждането на млади животни от 6 до 24 месечна възраст не е предвидено за подпомагане по държавната помощ за преодоляване на негативното икономическо въздействие на руската агресия срещу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изложеното, своевременното предоставяне на финансова подкрепа за земеделските стопани допринесе за съхраняване на производствения потенциал на агрохранителния сектор и за осигуряване на неговото нормално функциониране през следващите месеци.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обобщение, по тази подмярка ще се подпомагат земеделски стопани, които осъществяват стопанска дейност на територията на цялата страна, в особено засегнати от руското нашествие в Украйна, сектори. Други условия за допустимост включват земеделските стопани да са кандидатствали за подпомагане по схемите за обвързано производство и т.нар. зелени директни плащания – за кандидатите, които отглежда кози-майки, овце-майки, плодове, зеленчуци  или да имат регистрация в регистъра на земеделските стопани – при отглеждане на култивирани гъби и телета за угояване от 6 до 24 месеца. Процедурата по администриране на заявленията за подпомагане е облекчена. Предвижда се подаване на заявления за подпомагане и одобрение на база наличната информация в Интегрираната информационна система на Българската агенция по безопасност на храните – ВетИС, както и наличната информация от Интегрирана система за администриране и контрол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22.1. „Извънредно временно подпомагане за земеделски стопани, които са особено засегнати от последиците от руското нашествие в Украйна“ е разработена за земеделските стопани. Те продължават да бъдат изправени пред изключителни трудности при осъществяване на основната си дейност и в краткосрочен план увеличението на производствените разходи крие риск от свиване на съществуващото производство или дори фалити. Особено уязвими са чувствителните сектори „Растениевъдство“ и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Фокусът на подкрепата по мярката, финансирана от ЕЗФРСР, е насочен към земеделските стопанства, отглеждащи плодове, зеленчуци, винени лозя, слънчоглед, маслодайни рози, култивирани гъби, млечни и месодайни крави, телета за угояване, биволи, овце-майки и кози-майки.</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 тази промяна, изменението на ПРСР 2014-2020 се предвижда </w:t>
            </w:r>
            <w:r>
              <w:rPr>
                <w:rFonts w:ascii="Times New Roman" w:eastAsia="Times New Roman" w:hAnsi="Times New Roman" w:cs="Times New Roman"/>
                <w:szCs w:val="24"/>
                <w:u w:val="single"/>
              </w:rPr>
              <w:t>да не бъде</w:t>
            </w:r>
            <w:r>
              <w:rPr>
                <w:rFonts w:ascii="Times New Roman" w:eastAsia="Times New Roman" w:hAnsi="Times New Roman" w:cs="Times New Roman"/>
                <w:szCs w:val="24"/>
              </w:rPr>
              <w:t xml:space="preserve"> окачествено като „стратегическо“ – промяната се предлага да бъде съгласно чл. 11, т. б) от Регламент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предложените за извеждане средства от мерки с плащане на площ - Мярка 11 „Биологично земеделие“ и Мярка 13 „Плащания за райони,изправени пред природни или други специфични ограничения“, промяната във финансовите параметри на тези мерки не се предвижда да повлияе на заложените стратегически цели за площ  – т.е. показателите за площ не се предвижда да бъдат променяни, тъй като като цяло са постигнати в задоволителна степен за мерките, които са стартирали към момента, а и не се предвижда заявяване на площи много над текущо заявяваните по тези мерки. Единствените промени се предвижда да бъдат по отношение стойностите на показателите в чисто финансов аспект.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като цяло е съобразено и с минималните заложени суми за околна среда (чл. 59, ал.6 от Регл. 1305/2013), както и за т.нар. „no backslide principle”, съгласно който тази сума трябва да бъде като съотношение над 35.7%.</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настоящото предложение за изменение се предвижда извеждане на общо 23 800 000 евро от ЕЗФРСР (на тази сума отговарят 30 305 882 евро публични средства в мерките, от които се прави дедукцията), от гореописаните мерки и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същата сума ЕЗФРСР, прехвърлена към предложените мерки/подмерки, отговарят 28 000 000 евро публични средства, поради различния интензитет на ЕЗФРСР за някои от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резултат, разполагаемите средства от ЕЗФРСР остават без промяна – а именно 3 129 044 775 общо за ПРСР 2014-2020, а публичната помощ намалява с 2 305 882, от 3 795 425 418 до 3 793 119 535 евро публични средства. В тази връзка, промяната не оказва негативно влияние нито върху европейския, нито върху държавния бюджет.</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52"/>
        <w:gridCol w:w="3552"/>
        <w:gridCol w:w="35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tcPr>
          <w:p>
            <w:pPr>
              <w:rPr>
                <w:b/>
              </w:rPr>
            </w:pPr>
            <w:r>
              <w:rPr>
                <w:b/>
              </w:rPr>
              <w:t>Наименование (или референтен номер) на препоръката</w:t>
            </w:r>
          </w:p>
        </w:tc>
        <w:tc>
          <w:tcPr>
            <w:tcW w:w="12000" w:type="dxa"/>
            <w:shd w:val="clear" w:color="auto" w:fill="C0C0C0"/>
          </w:tcPr>
          <w:p>
            <w:pPr>
              <w:rPr>
                <w:b/>
              </w:rPr>
            </w:pPr>
            <w:r>
              <w:rPr>
                <w:b/>
              </w:rPr>
              <w:t>Категория на препоръката</w:t>
            </w:r>
          </w:p>
        </w:tc>
        <w:tc>
          <w:tcPr>
            <w:tcW w:w="12000" w:type="dxa"/>
            <w:shd w:val="clear" w:color="auto" w:fill="C0C0C0"/>
          </w:tcPr>
          <w:p>
            <w:pPr>
              <w:rPr>
                <w:b w:val="0"/>
              </w:rPr>
            </w:pPr>
            <w:r>
              <w:rPr>
                <w:b/>
              </w:rPr>
              <w:t>Дата</w:t>
            </w:r>
          </w:p>
        </w:tc>
      </w:tr>
      <w:tr>
        <w:tblPrEx>
          <w:tblW w:w="5000" w:type="pct"/>
          <w:tblCellMar>
            <w:left w:w="108" w:type="dxa"/>
            <w:right w:w="108" w:type="dxa"/>
          </w:tblCellMar>
        </w:tblPrEx>
        <w:tc>
          <w:tcPr>
            <w:tcW w:w="12000" w:type="dxa"/>
            <w:shd w:val="clear" w:color="auto" w:fill="FFFFFF"/>
          </w:tcPr>
          <w:p>
            <w:pPr>
              <w:rPr>
                <w:b w:val="0"/>
              </w:rPr>
            </w:pPr>
            <w:r>
              <w:rPr>
                <w:b w:val="0"/>
              </w:rPr>
              <w:t>1.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2.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3.АНС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4.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5.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6.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7.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8.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9.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А. SWOT Aнализ</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Б. Потребности</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В. Стратегия 1</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Г. Стратегия 2</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Д. Стратегия 3</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Е. Специфични цели</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Ж. Финансови средства 1</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З. Финансови средства 2</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И. Финансови средства 3</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Й. Административни ресурси</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К. Обучение на персонала</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Л. Тематична подпрограма за малки стопанства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М. План за оценка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Н. Комуникация</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О. Участие на заинтересованите страни</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numPr>
                <w:ilvl w:val="0"/>
                <w:numId w:val="24"/>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76"/>
        <w:gridCol w:w="1776"/>
        <w:gridCol w:w="1776"/>
        <w:gridCol w:w="1776"/>
        <w:gridCol w:w="1776"/>
        <w:gridCol w:w="17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Код</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20"/>
        <w:gridCol w:w="620"/>
        <w:gridCol w:w="620"/>
        <w:gridCol w:w="619"/>
        <w:gridCol w:w="621"/>
        <w:gridCol w:w="620"/>
        <w:gridCol w:w="618"/>
        <w:gridCol w:w="2"/>
        <w:gridCol w:w="620"/>
        <w:gridCol w:w="618"/>
        <w:gridCol w:w="2"/>
        <w:gridCol w:w="620"/>
        <w:gridCol w:w="620"/>
        <w:gridCol w:w="617"/>
        <w:gridCol w:w="3"/>
        <w:gridCol w:w="620"/>
        <w:gridCol w:w="620"/>
        <w:gridCol w:w="620"/>
        <w:gridCol w:w="620"/>
        <w:gridCol w:w="616"/>
        <w:gridCol w:w="4"/>
        <w:gridCol w:w="620"/>
        <w:gridCol w:w="620"/>
        <w:gridCol w:w="615"/>
        <w:gridCol w:w="5"/>
        <w:gridCol w:w="620"/>
        <w:gridCol w:w="620"/>
        <w:gridCol w:w="61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tcW w:w="36000" w:type="dxa"/>
            <w:gridSpan w:val="3"/>
            <w:shd w:val="clear" w:color="auto" w:fill="808080"/>
            <w:noWrap w:val="0"/>
            <w:tcMar>
              <w:top w:w="20" w:type="dxa"/>
              <w:bottom w:w="20" w:type="dxa"/>
            </w:tcMar>
            <w:vAlign w:val="center"/>
          </w:tcPr>
          <w:p>
            <w:pPr>
              <w:jc w:val="center"/>
              <w:rPr>
                <w:b/>
                <w:sz w:val="20"/>
              </w:rPr>
            </w:pPr>
            <w:r>
              <w:rPr>
                <w:b/>
                <w:sz w:val="20"/>
              </w:rPr>
              <w:t>P1</w:t>
            </w:r>
          </w:p>
        </w:tc>
        <w:tc>
          <w:tcPr>
            <w:tcW w:w="36000" w:type="dxa"/>
            <w:gridSpan w:val="3"/>
            <w:shd w:val="clear" w:color="auto" w:fill="808080"/>
            <w:noWrap w:val="0"/>
            <w:tcMar>
              <w:top w:w="20" w:type="dxa"/>
              <w:bottom w:w="20" w:type="dxa"/>
            </w:tcMar>
            <w:vAlign w:val="center"/>
          </w:tcPr>
          <w:p>
            <w:pPr>
              <w:jc w:val="center"/>
              <w:rPr>
                <w:b/>
                <w:sz w:val="20"/>
              </w:rPr>
            </w:pPr>
            <w:r>
              <w:rPr>
                <w:b/>
                <w:sz w:val="20"/>
              </w:rPr>
              <w:t>P2</w:t>
            </w:r>
          </w:p>
        </w:tc>
        <w:tc>
          <w:tcPr>
            <w:tcW w:w="24000" w:type="dxa"/>
            <w:gridSpan w:val="3"/>
            <w:shd w:val="clear" w:color="auto" w:fill="808080"/>
            <w:noWrap w:val="0"/>
            <w:tcMar>
              <w:top w:w="20" w:type="dxa"/>
              <w:bottom w:w="20" w:type="dxa"/>
            </w:tcMar>
            <w:vAlign w:val="center"/>
          </w:tcPr>
          <w:p>
            <w:pPr>
              <w:jc w:val="center"/>
              <w:rPr>
                <w:b/>
                <w:sz w:val="20"/>
              </w:rPr>
            </w:pPr>
            <w:r>
              <w:rPr>
                <w:b/>
                <w:sz w:val="20"/>
              </w:rPr>
              <w:t>P3</w:t>
            </w:r>
          </w:p>
        </w:tc>
        <w:tc>
          <w:tcPr>
            <w:tcW w:w="36000" w:type="dxa"/>
            <w:gridSpan w:val="4"/>
            <w:shd w:val="clear" w:color="auto" w:fill="808080"/>
            <w:noWrap w:val="0"/>
            <w:tcMar>
              <w:top w:w="20" w:type="dxa"/>
              <w:bottom w:w="20" w:type="dxa"/>
            </w:tcMar>
            <w:vAlign w:val="center"/>
          </w:tcPr>
          <w:p>
            <w:pPr>
              <w:jc w:val="center"/>
              <w:rPr>
                <w:b/>
                <w:sz w:val="20"/>
              </w:rPr>
            </w:pPr>
            <w:r>
              <w:rPr>
                <w:b/>
                <w:sz w:val="20"/>
              </w:rPr>
              <w:t>P4</w:t>
            </w:r>
          </w:p>
        </w:tc>
        <w:tc>
          <w:tcPr>
            <w:tcW w:w="60000" w:type="dxa"/>
            <w:gridSpan w:val="6"/>
            <w:shd w:val="clear" w:color="auto" w:fill="808080"/>
            <w:noWrap w:val="0"/>
            <w:tcMar>
              <w:top w:w="20" w:type="dxa"/>
              <w:bottom w:w="20" w:type="dxa"/>
            </w:tcMar>
            <w:vAlign w:val="center"/>
          </w:tcPr>
          <w:p>
            <w:pPr>
              <w:jc w:val="center"/>
              <w:rPr>
                <w:b/>
                <w:sz w:val="20"/>
              </w:rPr>
            </w:pPr>
            <w:r>
              <w:rPr>
                <w:b/>
                <w:sz w:val="20"/>
              </w:rPr>
              <w:t>P5</w:t>
            </w:r>
          </w:p>
        </w:tc>
        <w:tc>
          <w:tcPr>
            <w:tcW w:w="36000" w:type="dxa"/>
            <w:gridSpan w:val="4"/>
            <w:shd w:val="clear" w:color="auto" w:fill="808080"/>
            <w:noWrap w:val="0"/>
            <w:tcMar>
              <w:top w:w="20" w:type="dxa"/>
              <w:bottom w:w="20" w:type="dxa"/>
            </w:tcMar>
            <w:vAlign w:val="center"/>
          </w:tcPr>
          <w:p>
            <w:pPr>
              <w:jc w:val="center"/>
              <w:rPr>
                <w:b/>
                <w:sz w:val="20"/>
              </w:rPr>
            </w:pPr>
            <w:r>
              <w:rPr>
                <w:b/>
                <w:sz w:val="20"/>
              </w:rPr>
              <w:t>P6</w:t>
            </w:r>
          </w:p>
        </w:tc>
        <w:tc>
          <w:tcPr>
            <w:tcW w:w="36000" w:type="dxa"/>
            <w:gridSpan w:val="4"/>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tcW w:w="12000" w:type="dxa"/>
            <w:vMerge/>
            <w:shd w:val="clear" w:color="auto" w:fill="808080"/>
            <w:noWrap w:val="0"/>
            <w:tcMar>
              <w:top w:w="20" w:type="dxa"/>
              <w:bottom w:w="20" w:type="dxa"/>
            </w:tcMar>
            <w:vAlign w:val="center"/>
          </w:tcPr>
          <w:p>
            <w:pPr>
              <w:jc w:val="center"/>
              <w:rPr>
                <w:b/>
                <w:sz w:val="20"/>
              </w:rPr>
            </w:pPr>
          </w:p>
        </w:tc>
        <w:tc>
          <w:tcPr>
            <w:tcW w:w="12000" w:type="dxa"/>
            <w:shd w:val="clear" w:color="auto" w:fill="C0C0C0"/>
            <w:noWrap w:val="0"/>
            <w:tcMar>
              <w:top w:w="20" w:type="dxa"/>
              <w:bottom w:w="20" w:type="dxa"/>
            </w:tcMar>
            <w:vAlign w:val="center"/>
          </w:tcPr>
          <w:p>
            <w:pPr>
              <w:jc w:val="center"/>
              <w:rPr>
                <w:b w:val="0"/>
                <w:sz w:val="16"/>
              </w:rPr>
            </w:pPr>
            <w:r>
              <w:rPr>
                <w:b w:val="0"/>
                <w:sz w:val="16"/>
              </w:rPr>
              <w:t>1A</w:t>
            </w:r>
          </w:p>
        </w:tc>
        <w:tc>
          <w:tcPr>
            <w:tcW w:w="12000" w:type="dxa"/>
            <w:shd w:val="clear" w:color="auto" w:fill="C0C0C0"/>
            <w:noWrap w:val="0"/>
            <w:tcMar>
              <w:top w:w="20" w:type="dxa"/>
              <w:bottom w:w="20" w:type="dxa"/>
            </w:tcMar>
            <w:vAlign w:val="center"/>
          </w:tcPr>
          <w:p>
            <w:pPr>
              <w:jc w:val="center"/>
              <w:rPr>
                <w:b w:val="0"/>
                <w:sz w:val="16"/>
              </w:rPr>
            </w:pPr>
            <w:r>
              <w:rPr>
                <w:b w:val="0"/>
                <w:sz w:val="16"/>
              </w:rPr>
              <w:t>1B</w:t>
            </w:r>
          </w:p>
        </w:tc>
        <w:tc>
          <w:tcPr>
            <w:tcW w:w="12000" w:type="dxa"/>
            <w:shd w:val="clear" w:color="auto" w:fill="C0C0C0"/>
            <w:noWrap w:val="0"/>
            <w:tcMar>
              <w:top w:w="20" w:type="dxa"/>
              <w:bottom w:w="20" w:type="dxa"/>
            </w:tcMar>
            <w:vAlign w:val="center"/>
          </w:tcPr>
          <w:p>
            <w:pPr>
              <w:jc w:val="center"/>
              <w:rPr>
                <w:b w:val="0"/>
                <w:sz w:val="16"/>
              </w:rPr>
            </w:pPr>
            <w:r>
              <w:rPr>
                <w:b w:val="0"/>
                <w:sz w:val="16"/>
              </w:rPr>
              <w:t>1C</w:t>
            </w:r>
          </w:p>
        </w:tc>
        <w:tc>
          <w:tcPr>
            <w:tcW w:w="12000" w:type="dxa"/>
            <w:shd w:val="clear" w:color="auto" w:fill="C0C0C0"/>
            <w:noWrap w:val="0"/>
            <w:tcMar>
              <w:top w:w="20" w:type="dxa"/>
              <w:bottom w:w="20" w:type="dxa"/>
            </w:tcMar>
            <w:vAlign w:val="center"/>
          </w:tcPr>
          <w:p>
            <w:pPr>
              <w:jc w:val="center"/>
              <w:rPr>
                <w:b w:val="0"/>
                <w:sz w:val="16"/>
              </w:rPr>
            </w:pPr>
            <w:r>
              <w:rPr>
                <w:b w:val="0"/>
                <w:sz w:val="16"/>
              </w:rPr>
              <w:t>2A</w:t>
            </w:r>
          </w:p>
        </w:tc>
        <w:tc>
          <w:tcPr>
            <w:tcW w:w="12000" w:type="dxa"/>
            <w:shd w:val="clear" w:color="auto" w:fill="C0C0C0"/>
            <w:noWrap w:val="0"/>
            <w:tcMar>
              <w:top w:w="20" w:type="dxa"/>
              <w:bottom w:w="20" w:type="dxa"/>
            </w:tcMar>
            <w:vAlign w:val="center"/>
          </w:tcPr>
          <w:p>
            <w:pPr>
              <w:jc w:val="center"/>
              <w:rPr>
                <w:b w:val="0"/>
                <w:sz w:val="16"/>
              </w:rPr>
            </w:pPr>
            <w:r>
              <w:rPr>
                <w:b w:val="0"/>
                <w:sz w:val="16"/>
              </w:rPr>
              <w:t>2B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2C+</w:t>
            </w:r>
          </w:p>
        </w:tc>
        <w:tc>
          <w:tcPr>
            <w:tcW w:w="12000" w:type="dxa"/>
            <w:shd w:val="clear" w:color="auto" w:fill="C0C0C0"/>
            <w:noWrap w:val="0"/>
            <w:tcMar>
              <w:top w:w="20" w:type="dxa"/>
              <w:bottom w:w="20" w:type="dxa"/>
            </w:tcMar>
            <w:vAlign w:val="center"/>
          </w:tcPr>
          <w:p>
            <w:pPr>
              <w:jc w:val="center"/>
              <w:rPr>
                <w:b w:val="0"/>
                <w:sz w:val="16"/>
              </w:rPr>
            </w:pPr>
            <w:r>
              <w:rPr>
                <w:b w:val="0"/>
                <w:sz w:val="16"/>
              </w:rPr>
              <w:t>3A</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3B</w:t>
            </w:r>
          </w:p>
        </w:tc>
        <w:tc>
          <w:tcPr>
            <w:tcW w:w="12000" w:type="dxa"/>
            <w:shd w:val="clear" w:color="auto" w:fill="C0C0C0"/>
            <w:noWrap w:val="0"/>
            <w:tcMar>
              <w:top w:w="20" w:type="dxa"/>
              <w:bottom w:w="20" w:type="dxa"/>
            </w:tcMar>
            <w:vAlign w:val="center"/>
          </w:tcPr>
          <w:p>
            <w:pPr>
              <w:jc w:val="center"/>
              <w:rPr>
                <w:b w:val="0"/>
                <w:sz w:val="16"/>
              </w:rPr>
            </w:pPr>
            <w:r>
              <w:rPr>
                <w:b w:val="0"/>
                <w:sz w:val="16"/>
              </w:rPr>
              <w:t>4A</w:t>
            </w:r>
          </w:p>
        </w:tc>
        <w:tc>
          <w:tcPr>
            <w:tcW w:w="12000" w:type="dxa"/>
            <w:shd w:val="clear" w:color="auto" w:fill="C0C0C0"/>
            <w:noWrap w:val="0"/>
            <w:tcMar>
              <w:top w:w="20" w:type="dxa"/>
              <w:bottom w:w="20" w:type="dxa"/>
            </w:tcMar>
            <w:vAlign w:val="center"/>
          </w:tcPr>
          <w:p>
            <w:pPr>
              <w:jc w:val="center"/>
              <w:rPr>
                <w:b w:val="0"/>
                <w:sz w:val="16"/>
              </w:rPr>
            </w:pPr>
            <w:r>
              <w:rPr>
                <w:b w:val="0"/>
                <w:sz w:val="16"/>
              </w:rPr>
              <w:t>4B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4C</w:t>
            </w:r>
          </w:p>
        </w:tc>
        <w:tc>
          <w:tcPr>
            <w:tcW w:w="12000" w:type="dxa"/>
            <w:shd w:val="clear" w:color="auto" w:fill="C0C0C0"/>
            <w:noWrap w:val="0"/>
            <w:tcMar>
              <w:top w:w="20" w:type="dxa"/>
              <w:bottom w:w="20" w:type="dxa"/>
            </w:tcMar>
            <w:vAlign w:val="center"/>
          </w:tcPr>
          <w:p>
            <w:pPr>
              <w:jc w:val="center"/>
              <w:rPr>
                <w:b w:val="0"/>
                <w:sz w:val="16"/>
              </w:rPr>
            </w:pPr>
            <w:r>
              <w:rPr>
                <w:b w:val="0"/>
                <w:sz w:val="16"/>
              </w:rPr>
              <w:t>5A</w:t>
            </w:r>
          </w:p>
        </w:tc>
        <w:tc>
          <w:tcPr>
            <w:tcW w:w="12000" w:type="dxa"/>
            <w:shd w:val="clear" w:color="auto" w:fill="C0C0C0"/>
            <w:noWrap w:val="0"/>
            <w:tcMar>
              <w:top w:w="20" w:type="dxa"/>
              <w:bottom w:w="20" w:type="dxa"/>
            </w:tcMar>
            <w:vAlign w:val="center"/>
          </w:tcPr>
          <w:p>
            <w:pPr>
              <w:jc w:val="center"/>
              <w:rPr>
                <w:b w:val="0"/>
                <w:sz w:val="16"/>
              </w:rPr>
            </w:pPr>
            <w:r>
              <w:rPr>
                <w:b w:val="0"/>
                <w:sz w:val="16"/>
              </w:rPr>
              <w:t>5B</w:t>
            </w:r>
          </w:p>
        </w:tc>
        <w:tc>
          <w:tcPr>
            <w:tcW w:w="12000" w:type="dxa"/>
            <w:shd w:val="clear" w:color="auto" w:fill="C0C0C0"/>
            <w:noWrap w:val="0"/>
            <w:tcMar>
              <w:top w:w="20" w:type="dxa"/>
              <w:bottom w:w="20" w:type="dxa"/>
            </w:tcMar>
            <w:vAlign w:val="center"/>
          </w:tcPr>
          <w:p>
            <w:pPr>
              <w:jc w:val="center"/>
              <w:rPr>
                <w:b w:val="0"/>
                <w:sz w:val="16"/>
              </w:rPr>
            </w:pPr>
            <w:r>
              <w:rPr>
                <w:b w:val="0"/>
                <w:sz w:val="16"/>
              </w:rPr>
              <w:t>5C</w:t>
            </w:r>
          </w:p>
        </w:tc>
        <w:tc>
          <w:tcPr>
            <w:tcW w:w="12000" w:type="dxa"/>
            <w:shd w:val="clear" w:color="auto" w:fill="C0C0C0"/>
            <w:noWrap w:val="0"/>
            <w:tcMar>
              <w:top w:w="20" w:type="dxa"/>
              <w:bottom w:w="20" w:type="dxa"/>
            </w:tcMar>
            <w:vAlign w:val="center"/>
          </w:tcPr>
          <w:p>
            <w:pPr>
              <w:jc w:val="center"/>
              <w:rPr>
                <w:b w:val="0"/>
                <w:sz w:val="16"/>
              </w:rPr>
            </w:pPr>
            <w:r>
              <w:rPr>
                <w:b w:val="0"/>
                <w:sz w:val="16"/>
              </w:rPr>
              <w:t>5D</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5E</w:t>
            </w:r>
          </w:p>
        </w:tc>
        <w:tc>
          <w:tcPr>
            <w:tcW w:w="12000" w:type="dxa"/>
            <w:shd w:val="clear" w:color="auto" w:fill="C0C0C0"/>
            <w:noWrap w:val="0"/>
            <w:tcMar>
              <w:top w:w="20" w:type="dxa"/>
              <w:bottom w:w="20" w:type="dxa"/>
            </w:tcMar>
            <w:vAlign w:val="center"/>
          </w:tcPr>
          <w:p>
            <w:pPr>
              <w:jc w:val="center"/>
              <w:rPr>
                <w:b w:val="0"/>
                <w:sz w:val="16"/>
              </w:rPr>
            </w:pPr>
            <w:r>
              <w:rPr>
                <w:b w:val="0"/>
                <w:sz w:val="16"/>
              </w:rPr>
              <w:t>6A</w:t>
            </w:r>
          </w:p>
        </w:tc>
        <w:tc>
          <w:tcPr>
            <w:tcW w:w="12000" w:type="dxa"/>
            <w:shd w:val="clear" w:color="auto" w:fill="C0C0C0"/>
            <w:noWrap w:val="0"/>
            <w:tcMar>
              <w:top w:w="20" w:type="dxa"/>
              <w:bottom w:w="20" w:type="dxa"/>
            </w:tcMar>
            <w:vAlign w:val="center"/>
          </w:tcPr>
          <w:p>
            <w:pPr>
              <w:jc w:val="center"/>
              <w:rPr>
                <w:b w:val="0"/>
                <w:sz w:val="16"/>
              </w:rPr>
            </w:pPr>
            <w:r>
              <w:rPr>
                <w:b w:val="0"/>
                <w:sz w:val="16"/>
              </w:rPr>
              <w:t>6B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6C</w:t>
            </w:r>
          </w:p>
        </w:tc>
        <w:tc>
          <w:tcPr>
            <w:tcW w:w="12000" w:type="dxa"/>
            <w:shd w:val="clear" w:color="auto" w:fill="C0C0C0"/>
            <w:noWrap w:val="0"/>
            <w:tcMar>
              <w:top w:w="20" w:type="dxa"/>
              <w:bottom w:w="20" w:type="dxa"/>
            </w:tcMar>
            <w:vAlign w:val="center"/>
          </w:tcPr>
          <w:p>
            <w:pPr>
              <w:jc w:val="center"/>
              <w:rPr>
                <w:b w:val="0"/>
                <w:sz w:val="16"/>
              </w:rPr>
            </w:pPr>
            <w:r>
              <w:rPr>
                <w:b w:val="0"/>
                <w:sz w:val="16"/>
              </w:rPr>
              <w:t>Околна среда</w:t>
            </w:r>
          </w:p>
        </w:tc>
        <w:tc>
          <w:tcPr>
            <w:tcW w:w="12000" w:type="dxa"/>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tcW w:w="12000" w:type="dxa"/>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5"/>
              </w:numPr>
              <w:rPr>
                <w:b w:val="0"/>
              </w:rPr>
            </w:pPr>
            <w:r>
              <w:rPr>
                <w:b w:val="0"/>
              </w:rPr>
              <w:t>1А) Стимулиране на иновациите, сътрудничеството и развитието на базата от знания в селските райони</w:t>
            </w:r>
          </w:p>
          <w:p>
            <w:pPr>
              <w:numPr>
                <w:numId w:val="25"/>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5"/>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5"/>
              </w:numPr>
              <w:rPr>
                <w:b w:val="0"/>
              </w:rPr>
            </w:pPr>
            <w:r>
              <w:rPr>
                <w:b w:val="0"/>
              </w:rPr>
              <w:t>4В) Предотвратяване на ерозията на почвите и подобряване на управлението им</w:t>
            </w:r>
          </w:p>
          <w:p>
            <w:pPr>
              <w:numPr>
                <w:numId w:val="25"/>
              </w:numPr>
              <w:rPr>
                <w:b w:val="0"/>
              </w:rPr>
            </w:pPr>
            <w:r>
              <w:rPr>
                <w:b w:val="0"/>
              </w:rPr>
              <w:t xml:space="preserve">5А) Повишаване на ефективността при потреблението на вода в селското стопанство </w:t>
            </w:r>
          </w:p>
          <w:p>
            <w:pPr>
              <w:numPr>
                <w:numId w:val="2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5"/>
              </w:numPr>
              <w:rPr>
                <w:b w:val="0"/>
              </w:rPr>
            </w:pPr>
            <w:r>
              <w:rPr>
                <w:b w:val="0"/>
              </w:rPr>
              <w:t>5Г) Намаляване на емисиите на парникови газове и амоняк от селското стопанство</w:t>
            </w:r>
          </w:p>
          <w:p>
            <w:pPr>
              <w:numPr>
                <w:numId w:val="2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6"/>
              </w:numPr>
              <w:rPr>
                <w:b w:val="0"/>
              </w:rPr>
            </w:pPr>
            <w:r>
              <w:rPr>
                <w:b w:val="0"/>
              </w:rPr>
              <w:t>Околна среда</w:t>
            </w:r>
          </w:p>
          <w:p>
            <w:pPr>
              <w:numPr>
                <w:numId w:val="2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7"/>
              </w:numPr>
              <w:rPr>
                <w:b w:val="0"/>
              </w:rPr>
            </w:pPr>
            <w:r>
              <w:rPr>
                <w:b w:val="0"/>
              </w:rPr>
              <w:t>1А) Стимулиране на иновациите, сътрудничеството и развитието на базата от знания в селските райони</w:t>
            </w:r>
          </w:p>
          <w:p>
            <w:pPr>
              <w:numPr>
                <w:numId w:val="2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7"/>
              </w:numPr>
              <w:rPr>
                <w:b w:val="0"/>
              </w:rPr>
            </w:pPr>
            <w:r>
              <w:rPr>
                <w:b w:val="0"/>
              </w:rPr>
              <w:t xml:space="preserve">4Б) Подобряване управлението на водите, включително управлението на торовете и пестицидите </w:t>
            </w:r>
          </w:p>
          <w:p>
            <w:pPr>
              <w:numPr>
                <w:numId w:val="27"/>
              </w:numPr>
              <w:rPr>
                <w:b w:val="0"/>
              </w:rPr>
            </w:pPr>
            <w:r>
              <w:rPr>
                <w:b w:val="0"/>
              </w:rPr>
              <w:t>4В) Предотвратяване на ерозията на почвите и подобряване на управлението им</w:t>
            </w:r>
          </w:p>
          <w:p>
            <w:pPr>
              <w:numPr>
                <w:numId w:val="27"/>
              </w:numPr>
              <w:rPr>
                <w:b w:val="0"/>
              </w:rPr>
            </w:pPr>
            <w:r>
              <w:rPr>
                <w:b w:val="0"/>
              </w:rPr>
              <w:t xml:space="preserve">5А) Повишаване на ефективността при потреблението на вода в селското стопанство </w:t>
            </w:r>
          </w:p>
          <w:p>
            <w:pPr>
              <w:numPr>
                <w:numId w:val="2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7"/>
              </w:numPr>
              <w:rPr>
                <w:b w:val="0"/>
              </w:rPr>
            </w:pPr>
            <w:r>
              <w:rPr>
                <w:b w:val="0"/>
              </w:rPr>
              <w:t>5Г) Намаляване на емисиите на парникови газове и амоняк от селското стопанство</w:t>
            </w:r>
          </w:p>
          <w:p>
            <w:pPr>
              <w:numPr>
                <w:numId w:val="27"/>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8"/>
              </w:numPr>
              <w:rPr>
                <w:b w:val="0"/>
              </w:rPr>
            </w:pPr>
            <w:r>
              <w:rPr>
                <w:b w:val="0"/>
              </w:rPr>
              <w:t>Околна среда</w:t>
            </w:r>
          </w:p>
          <w:p>
            <w:pPr>
              <w:numPr>
                <w:numId w:val="2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9"/>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9"/>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9"/>
              </w:numPr>
              <w:rPr>
                <w:b w:val="0"/>
              </w:rPr>
            </w:pPr>
            <w:r>
              <w:rPr>
                <w:b w:val="0"/>
              </w:rPr>
              <w:t xml:space="preserve">4Б) Подобряване управлението на водите, включително управлението на торовете и пестицидите </w:t>
            </w:r>
          </w:p>
          <w:p>
            <w:pPr>
              <w:numPr>
                <w:numId w:val="29"/>
              </w:numPr>
              <w:rPr>
                <w:b w:val="0"/>
              </w:rPr>
            </w:pPr>
            <w:r>
              <w:rPr>
                <w:b w:val="0"/>
              </w:rPr>
              <w:t>4В) Предотвратяване на ерозията на почвите и подобряване на управлението им</w:t>
            </w:r>
          </w:p>
          <w:p>
            <w:pPr>
              <w:numPr>
                <w:numId w:val="29"/>
              </w:numPr>
              <w:rPr>
                <w:b w:val="0"/>
              </w:rPr>
            </w:pPr>
            <w:r>
              <w:rPr>
                <w:b w:val="0"/>
              </w:rPr>
              <w:t xml:space="preserve">5А) Повишаване на ефективността при потреблението на вода в селското стопанство </w:t>
            </w:r>
          </w:p>
          <w:p>
            <w:pPr>
              <w:numPr>
                <w:numId w:val="29"/>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9"/>
              </w:numPr>
              <w:rPr>
                <w:b w:val="0"/>
              </w:rPr>
            </w:pPr>
            <w:r>
              <w:rPr>
                <w:b w:val="0"/>
              </w:rPr>
              <w:t>5Г) Намаляване на емисиите на парникови газове и амоняк от селското стопанство</w:t>
            </w:r>
          </w:p>
          <w:p>
            <w:pPr>
              <w:numPr>
                <w:numId w:val="29"/>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0"/>
              </w:numPr>
              <w:rPr>
                <w:b w:val="0"/>
              </w:rPr>
            </w:pPr>
            <w:r>
              <w:rPr>
                <w:b w:val="0"/>
              </w:rPr>
              <w:t>Околна среда</w:t>
            </w:r>
          </w:p>
          <w:p>
            <w:pPr>
              <w:numPr>
                <w:numId w:val="3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1"/>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2"/>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2"/>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2"/>
              </w:numPr>
              <w:rPr>
                <w:b w:val="0"/>
              </w:rPr>
            </w:pPr>
            <w:r>
              <w:rPr>
                <w:b w:val="0"/>
              </w:rPr>
              <w:t xml:space="preserve">4Б) Подобряване управлението на водите, включително управлението на торовете и пестицидите </w:t>
            </w:r>
          </w:p>
          <w:p>
            <w:pPr>
              <w:numPr>
                <w:numId w:val="32"/>
              </w:numPr>
              <w:rPr>
                <w:b w:val="0"/>
              </w:rPr>
            </w:pPr>
            <w:r>
              <w:rPr>
                <w:b w:val="0"/>
              </w:rPr>
              <w:t>4В) Предотвратяване на ерозията на почвите и подобряване на управлението им</w:t>
            </w:r>
          </w:p>
          <w:p>
            <w:pPr>
              <w:numPr>
                <w:numId w:val="32"/>
              </w:numPr>
              <w:rPr>
                <w:b w:val="0"/>
              </w:rPr>
            </w:pPr>
            <w:r>
              <w:rPr>
                <w:b w:val="0"/>
              </w:rPr>
              <w:t xml:space="preserve">5А) Повишаване на ефективността при потреблението на вода в селското стопанство </w:t>
            </w:r>
          </w:p>
          <w:p>
            <w:pPr>
              <w:numPr>
                <w:numId w:val="32"/>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2"/>
              </w:numPr>
              <w:rPr>
                <w:b w:val="0"/>
              </w:rPr>
            </w:pPr>
            <w:r>
              <w:rPr>
                <w:b w:val="0"/>
              </w:rPr>
              <w:t>5Г) Намаляване на емисиите на парникови газове и амоняк от селското стопанство</w:t>
            </w:r>
          </w:p>
          <w:p>
            <w:pPr>
              <w:numPr>
                <w:numId w:val="32"/>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3"/>
              </w:numPr>
              <w:rPr>
                <w:b w:val="0"/>
              </w:rPr>
            </w:pPr>
            <w:r>
              <w:rPr>
                <w:b w:val="0"/>
              </w:rPr>
              <w:t>Околна среда</w:t>
            </w:r>
          </w:p>
          <w:p>
            <w:pPr>
              <w:numPr>
                <w:numId w:val="33"/>
              </w:numPr>
              <w:rPr>
                <w:b w:val="0"/>
              </w:rPr>
            </w:pPr>
            <w:r>
              <w:rPr>
                <w:b w:val="0"/>
              </w:rPr>
              <w:t>Смекчаване на последиците от изменението на климата и приспособяване към тях</w:t>
            </w:r>
          </w:p>
          <w:p>
            <w:pPr>
              <w:numPr>
                <w:numId w:val="3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5"/>
              </w:numPr>
              <w:rPr>
                <w:b w:val="0"/>
              </w:rPr>
            </w:pPr>
            <w:r>
              <w:rPr>
                <w:b w:val="0"/>
              </w:rPr>
              <w:t>Околна среда</w:t>
            </w:r>
          </w:p>
          <w:p>
            <w:pPr>
              <w:numPr>
                <w:numId w:val="35"/>
              </w:numPr>
              <w:rPr>
                <w:b w:val="0"/>
              </w:rPr>
            </w:pPr>
            <w:r>
              <w:rPr>
                <w:b w:val="0"/>
              </w:rPr>
              <w:t>Смекчаване на последиците от изменението на климата и приспособяване към тях</w:t>
            </w:r>
          </w:p>
          <w:p>
            <w:pPr>
              <w:numPr>
                <w:numId w:val="3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7"/>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8"/>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0"/>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4"/>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4"/>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1"/>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2"/>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5"/>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5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9"/>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0"/>
              </w:numPr>
              <w:rPr>
                <w:b w:val="0"/>
              </w:rPr>
            </w:pPr>
            <w:r>
              <w:rPr>
                <w:b w:val="0"/>
              </w:rPr>
              <w:t>Околна среда</w:t>
            </w:r>
          </w:p>
          <w:p>
            <w:pPr>
              <w:numPr>
                <w:numId w:val="6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1"/>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2"/>
              </w:numPr>
              <w:rPr>
                <w:b w:val="0"/>
              </w:rPr>
            </w:pPr>
            <w:r>
              <w:rPr>
                <w:b w:val="0"/>
              </w:rPr>
              <w:t xml:space="preserve">4Б) Подобряване управлението на водите, включително управлението на торовете и пестицидите </w:t>
            </w:r>
          </w:p>
          <w:p>
            <w:pPr>
              <w:numPr>
                <w:numId w:val="62"/>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3"/>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4"/>
              </w:numPr>
              <w:rPr>
                <w:b w:val="0"/>
              </w:rPr>
            </w:pPr>
            <w:r>
              <w:rPr>
                <w:b w:val="0"/>
              </w:rPr>
              <w:t xml:space="preserve">4Б) Подобряване управлението на водите, включително управлението на торовете и пестицидите </w:t>
            </w:r>
          </w:p>
          <w:p>
            <w:pPr>
              <w:numPr>
                <w:numId w:val="64"/>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5"/>
              </w:numPr>
              <w:rPr>
                <w:b w:val="0"/>
              </w:rPr>
            </w:pPr>
            <w:r>
              <w:rPr>
                <w:b w:val="0"/>
              </w:rPr>
              <w:t>Околна среда</w:t>
            </w:r>
          </w:p>
          <w:p>
            <w:pPr>
              <w:numPr>
                <w:numId w:val="6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0"/>
              </w:numPr>
              <w:rPr>
                <w:b w:val="0"/>
              </w:rPr>
            </w:pPr>
            <w:r>
              <w:rPr>
                <w:b w:val="0"/>
              </w:rPr>
              <w:t>Околна среда</w:t>
            </w:r>
          </w:p>
          <w:p>
            <w:pPr>
              <w:numPr>
                <w:numId w:val="7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1"/>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2"/>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3"/>
              </w:numPr>
              <w:rPr>
                <w:b w:val="0"/>
              </w:rPr>
            </w:pPr>
            <w:r>
              <w:rPr>
                <w:b w:val="0"/>
              </w:rPr>
              <w:t>4В) Предотвратяване на ерозията на почвите и подобряване на управлението им</w:t>
            </w:r>
          </w:p>
          <w:p>
            <w:pPr>
              <w:numPr>
                <w:numId w:val="73"/>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4"/>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6"/>
              </w:numPr>
              <w:rPr>
                <w:b w:val="0"/>
              </w:rPr>
            </w:pPr>
            <w:r>
              <w:rPr>
                <w:b w:val="0"/>
              </w:rPr>
              <w:t>Околна среда</w:t>
            </w:r>
          </w:p>
          <w:p>
            <w:pPr>
              <w:numPr>
                <w:numId w:val="76"/>
              </w:numPr>
              <w:rPr>
                <w:b w:val="0"/>
              </w:rPr>
            </w:pPr>
            <w:r>
              <w:rPr>
                <w:b w:val="0"/>
              </w:rPr>
              <w:t>Смекчаване на последиците от изменението на климата и приспособяване към тях</w:t>
            </w:r>
          </w:p>
          <w:p>
            <w:pPr>
              <w:numPr>
                <w:numId w:val="7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9"/>
              </w:numPr>
              <w:rPr>
                <w:b w:val="0"/>
              </w:rPr>
            </w:pPr>
            <w:r>
              <w:rPr>
                <w:b w:val="0"/>
              </w:rPr>
              <w:t xml:space="preserve">5А) Повишаване на ефективността при потреблението на вода в селското стопанство </w:t>
            </w:r>
          </w:p>
          <w:p>
            <w:pPr>
              <w:numPr>
                <w:numId w:val="7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1"/>
              </w:numPr>
              <w:rPr>
                <w:b w:val="0"/>
              </w:rPr>
            </w:pPr>
            <w:r>
              <w:rPr>
                <w:b w:val="0"/>
              </w:rPr>
              <w:t>1А) Стимулиране на иновациите, сътрудничеството и развитието на базата от знания в селските райони</w:t>
            </w:r>
          </w:p>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2"/>
              </w:numPr>
              <w:rPr>
                <w:b w:val="0"/>
              </w:rPr>
            </w:pPr>
            <w:r>
              <w:rPr>
                <w:b w:val="0"/>
              </w:rPr>
              <w:t>Околна среда</w:t>
            </w:r>
          </w:p>
          <w:p>
            <w:pPr>
              <w:numPr>
                <w:numId w:val="8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3"/>
              </w:numPr>
              <w:rPr>
                <w:b w:val="0"/>
              </w:rPr>
            </w:pPr>
            <w:r>
              <w:rPr>
                <w:b w:val="0"/>
              </w:rPr>
              <w:t xml:space="preserve">6Б) Стимулиране на местното развитие в селските райони </w:t>
            </w:r>
          </w:p>
          <w:p>
            <w:pPr>
              <w:numPr>
                <w:numId w:val="83"/>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5"/>
              </w:numPr>
              <w:rPr>
                <w:b w:val="0"/>
              </w:rPr>
            </w:pPr>
            <w:r>
              <w:rPr>
                <w:b w:val="0"/>
              </w:rPr>
              <w:t>М01 — Трансфер на знания и действия за осведомяване (член 14)</w:t>
            </w:r>
          </w:p>
          <w:p>
            <w:pPr>
              <w:numPr>
                <w:numId w:val="85"/>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5"/>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6"/>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7"/>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8"/>
              </w:numPr>
              <w:rPr>
                <w:b w:val="0"/>
              </w:rPr>
            </w:pPr>
            <w:r>
              <w:rPr>
                <w:b w:val="0"/>
              </w:rPr>
              <w:t>М01 — Трансфер на знания и действия за осведомяване (член 14)</w:t>
            </w:r>
          </w:p>
          <w:p>
            <w:pPr>
              <w:numPr>
                <w:numId w:val="88"/>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8"/>
              </w:numPr>
              <w:rPr>
                <w:b w:val="0"/>
              </w:rPr>
            </w:pPr>
            <w:r>
              <w:rPr>
                <w:b w:val="0"/>
              </w:rPr>
              <w:t>M04 — Инвестиции в материални активи (член 17)</w:t>
            </w:r>
          </w:p>
          <w:p>
            <w:pPr>
              <w:numPr>
                <w:numId w:val="88"/>
              </w:numPr>
              <w:rPr>
                <w:b w:val="0"/>
              </w:rPr>
            </w:pPr>
            <w:r>
              <w:rPr>
                <w:b w:val="0"/>
              </w:rPr>
              <w:t>M06 — Развитие на стопанства и предприятия (член 19)</w:t>
            </w:r>
          </w:p>
          <w:p>
            <w:pPr>
              <w:numPr>
                <w:numId w:val="88"/>
              </w:numPr>
              <w:rPr>
                <w:b w:val="0"/>
              </w:rPr>
            </w:pPr>
            <w:r>
              <w:rPr>
                <w:b w:val="0"/>
              </w:rPr>
              <w:t>M16 — Сътрудничество (член 35)</w:t>
            </w:r>
          </w:p>
          <w:p>
            <w:pPr>
              <w:numPr>
                <w:numId w:val="88"/>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p>
            <w:pPr>
              <w:numPr>
                <w:numId w:val="88"/>
              </w:numPr>
              <w:rPr>
                <w:b w:val="0"/>
              </w:rPr>
            </w:pPr>
            <w:r>
              <w:rPr>
                <w:b w:val="0"/>
              </w:rPr>
              <w:t>M22 - Exceptional temporary support to farmers and SMEs particularly affected by the impact of Russia's invasion of Ukraine (art 39b)</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538 млн. евро публични разходи (14%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2500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115 млн. евро публични разходи, като по ПО 2А са програмирани почти 90% от тях. Основната част от средствата на подпрограмата са насочени към М06.3 – 67 млн.евро, като се цели подпомагане на около 4400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9"/>
              </w:numPr>
            </w:pPr>
            <w:r>
              <w:t>М01 — Трансфер на знания и действия за осведомяване (член 14)</w:t>
            </w:r>
          </w:p>
          <w:p>
            <w:pPr>
              <w:numPr>
                <w:numId w:val="89"/>
              </w:numPr>
            </w:pPr>
            <w:r>
              <w:t>М02 —  Консултантски услуги, услуги по управление на стопанство и услуги по заместване в стопанство (член 15)</w:t>
            </w:r>
          </w:p>
          <w:p>
            <w:pPr>
              <w:numPr>
                <w:numId w:val="89"/>
              </w:numPr>
            </w:pPr>
            <w:r>
              <w:t>M04 — Инвестиции в материални активи (член 17)</w:t>
            </w:r>
          </w:p>
          <w:p>
            <w:pPr>
              <w:numPr>
                <w:numId w:val="89"/>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151 млн. евро публични разходи (5 % от общия). Основната част от бюджета (83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0"/>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18 500 000 евро публични разходи или 0.6%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1"/>
              </w:numPr>
              <w:rPr>
                <w:b w:val="0"/>
              </w:rPr>
            </w:pPr>
            <w:r>
              <w:rPr>
                <w:b w:val="0"/>
              </w:rPr>
              <w:t>М01 — Трансфер на знания и действия за осведомяване (член 14)</w:t>
            </w:r>
          </w:p>
          <w:p>
            <w:pPr>
              <w:numPr>
                <w:numId w:val="91"/>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1"/>
              </w:numPr>
              <w:rPr>
                <w:b w:val="0"/>
              </w:rPr>
            </w:pPr>
            <w:r>
              <w:rPr>
                <w:b w:val="0"/>
              </w:rPr>
              <w:t>M04 — Инвестиции в материални активи (член 17)</w:t>
            </w:r>
          </w:p>
          <w:p>
            <w:pPr>
              <w:numPr>
                <w:numId w:val="91"/>
              </w:numPr>
              <w:rPr>
                <w:b w:val="0"/>
              </w:rPr>
            </w:pPr>
            <w:r>
              <w:rPr>
                <w:b w:val="0"/>
              </w:rPr>
              <w:t>M06 — Развитие на стопанства и предприятия (член 19)</w:t>
            </w:r>
          </w:p>
          <w:p>
            <w:pPr>
              <w:numPr>
                <w:numId w:val="91"/>
              </w:numPr>
              <w:rPr>
                <w:b w:val="0"/>
              </w:rPr>
            </w:pPr>
            <w:r>
              <w:rPr>
                <w:b w:val="0"/>
              </w:rPr>
              <w:t>M09 — Създаване на групи и организации на производителите (член 27)</w:t>
            </w:r>
          </w:p>
          <w:p>
            <w:pPr>
              <w:numPr>
                <w:numId w:val="91"/>
              </w:numPr>
              <w:rPr>
                <w:b w:val="0"/>
              </w:rPr>
            </w:pPr>
            <w:r>
              <w:rPr>
                <w:b w:val="0"/>
              </w:rPr>
              <w:t>M14 — Хуманно отношение към животните (член 33)</w:t>
            </w:r>
          </w:p>
          <w:p>
            <w:pPr>
              <w:numPr>
                <w:numId w:val="91"/>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274 млн. евро или 10 %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330 проекта, като тя има бюджет от 232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17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2"/>
              </w:numPr>
            </w:pPr>
            <w:r>
              <w:t>М01 — Трансфер на знания и действия за осведомяване (член 14)</w:t>
            </w:r>
          </w:p>
          <w:p>
            <w:pPr>
              <w:numPr>
                <w:numId w:val="92"/>
              </w:numPr>
            </w:pPr>
            <w:r>
              <w:t>М02 —  Консултантски услуги, услуги по управление на стопанство и услуги по заместване в стопанство (член 15)</w:t>
            </w:r>
          </w:p>
          <w:p>
            <w:pPr>
              <w:numPr>
                <w:numId w:val="92"/>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28 млн. евро публични разходи или ~1% от общия. Към бюджета на ПО се отнасят 28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3"/>
              </w:numPr>
              <w:rPr>
                <w:b w:val="0"/>
              </w:rPr>
            </w:pPr>
            <w:r>
              <w:rPr>
                <w:b w:val="0"/>
              </w:rPr>
              <w:t>М01 — Трансфер на знания и действия за осведомяване (член 14)</w:t>
            </w:r>
          </w:p>
          <w:p>
            <w:pPr>
              <w:numPr>
                <w:numId w:val="93"/>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3"/>
              </w:numPr>
              <w:rPr>
                <w:b w:val="0"/>
              </w:rPr>
            </w:pPr>
            <w:r>
              <w:rPr>
                <w:b w:val="0"/>
              </w:rPr>
              <w:t>M04 — Инвестиции в материални активи (член 17)</w:t>
            </w:r>
          </w:p>
          <w:p>
            <w:pPr>
              <w:numPr>
                <w:numId w:val="93"/>
              </w:numPr>
              <w:rPr>
                <w:b w:val="0"/>
              </w:rPr>
            </w:pPr>
            <w:r>
              <w:rPr>
                <w:b w:val="0"/>
              </w:rPr>
              <w:t>M10 — Агроекология и климат (член 28)</w:t>
            </w:r>
          </w:p>
          <w:p>
            <w:pPr>
              <w:numPr>
                <w:numId w:val="93"/>
              </w:numPr>
              <w:rPr>
                <w:b w:val="0"/>
              </w:rPr>
            </w:pPr>
            <w:r>
              <w:rPr>
                <w:b w:val="0"/>
              </w:rPr>
              <w:t>М11 — Биологично земеделие (член 29)</w:t>
            </w:r>
          </w:p>
          <w:p>
            <w:pPr>
              <w:numPr>
                <w:numId w:val="93"/>
              </w:numPr>
              <w:rPr>
                <w:b w:val="0"/>
              </w:rPr>
            </w:pPr>
            <w:r>
              <w:rPr>
                <w:b w:val="0"/>
              </w:rPr>
              <w:t>M12 — Плащания по „Натура 2000“ и Рамковата директива за водите (член 30)</w:t>
            </w:r>
          </w:p>
          <w:p>
            <w:pPr>
              <w:numPr>
                <w:numId w:val="93"/>
              </w:numPr>
              <w:rPr>
                <w:b w:val="0"/>
              </w:rPr>
            </w:pPr>
            <w:r>
              <w:rPr>
                <w:b w:val="0"/>
              </w:rPr>
              <w:t>М13 — Плащания за райони, изправени пред природни или други специфични ограничения (член 31)</w:t>
            </w:r>
          </w:p>
          <w:p>
            <w:pPr>
              <w:numPr>
                <w:numId w:val="93"/>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4"/>
              </w:numPr>
              <w:rPr>
                <w:b w:val="0"/>
              </w:rPr>
            </w:pPr>
            <w:r>
              <w:rPr>
                <w:b w:val="0"/>
              </w:rPr>
              <w:t>М08 — Инвестиции в развитие на горските райони и подобряване на жизнеспособността на горите (членове 21 — 26)</w:t>
            </w:r>
          </w:p>
          <w:p>
            <w:pPr>
              <w:numPr>
                <w:numId w:val="94"/>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1132 млн. евро публични разходи или 30 % от общия бюджет на Програмата. В рамките на приоритета са избрани: 1) мерки – М01, М02 и М16, които имат бюджет 12 млн. евро; 2)  мерки– М10, М11, М12,М13, с бюджет 1009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34 млн. евро; 4) мерки за екосистемни услуги в горите, с бюджет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5"/>
              </w:numPr>
            </w:pPr>
            <w:r>
              <w:t>М01 — Трансфер на знания и действия за осведомяване (член 14)</w:t>
            </w:r>
          </w:p>
          <w:p>
            <w:pPr>
              <w:numPr>
                <w:numId w:val="95"/>
              </w:numPr>
            </w:pPr>
            <w:r>
              <w:t>М02 —  Консултантски услуги, услуги по управление на стопанство и услуги по заместване в стопанство (член 15)</w:t>
            </w:r>
          </w:p>
          <w:p>
            <w:pPr>
              <w:numPr>
                <w:numId w:val="95"/>
              </w:numPr>
            </w:pPr>
            <w:r>
              <w:t>M04 — Инвестиции в материални активи (член 17)</w:t>
            </w:r>
          </w:p>
          <w:p>
            <w:pPr>
              <w:numPr>
                <w:numId w:val="95"/>
              </w:numPr>
            </w:pPr>
            <w:r>
              <w:t>M10 — Агроекология и климат (член 28)</w:t>
            </w:r>
          </w:p>
          <w:p>
            <w:pPr>
              <w:numPr>
                <w:numId w:val="95"/>
              </w:numPr>
            </w:pPr>
            <w:r>
              <w:t>М11 — Биологично земеделие (член 29)</w:t>
            </w:r>
          </w:p>
          <w:p>
            <w:pPr>
              <w:numPr>
                <w:numId w:val="95"/>
              </w:numPr>
            </w:pPr>
            <w:r>
              <w:t>M12 — Плащания по „Натура 2000“ и Рамковата директива за водите (член 30)</w:t>
            </w:r>
          </w:p>
          <w:p>
            <w:pPr>
              <w:numPr>
                <w:numId w:val="95"/>
              </w:numPr>
            </w:pPr>
            <w:r>
              <w:t>М13 — Плащания за райони, изправени пред природни или други специфични ограничения (член 31)</w:t>
            </w:r>
          </w:p>
          <w:p>
            <w:pPr>
              <w:numPr>
                <w:numId w:val="95"/>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6"/>
              </w:numPr>
            </w:pPr>
            <w:r>
              <w:t>М08 — Инвестиции в развитие на горските райони и подобряване на жизнеспособността на горите (членове 21 — 26)</w:t>
            </w:r>
          </w:p>
          <w:p>
            <w:pPr>
              <w:numPr>
                <w:numId w:val="96"/>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7"/>
              </w:numPr>
            </w:pPr>
            <w:r>
              <w:t>М01 — Трансфер на знания и действия за осведомяване (член 14)</w:t>
            </w:r>
          </w:p>
          <w:p>
            <w:pPr>
              <w:numPr>
                <w:numId w:val="97"/>
              </w:numPr>
            </w:pPr>
            <w:r>
              <w:t>М02 —  Консултантски услуги, услуги по управление на стопанство и услуги по заместване в стопанство (член 15)</w:t>
            </w:r>
          </w:p>
          <w:p>
            <w:pPr>
              <w:numPr>
                <w:numId w:val="97"/>
              </w:numPr>
            </w:pPr>
            <w:r>
              <w:t>M04 — Инвестиции в материални активи (член 17)</w:t>
            </w:r>
          </w:p>
          <w:p>
            <w:pPr>
              <w:numPr>
                <w:numId w:val="97"/>
              </w:numPr>
            </w:pPr>
            <w:r>
              <w:t>M10 — Агроекология и климат (член 28)</w:t>
            </w:r>
          </w:p>
          <w:p>
            <w:pPr>
              <w:numPr>
                <w:numId w:val="97"/>
              </w:numPr>
            </w:pPr>
            <w:r>
              <w:t>М11 — Биологично земеделие (член 29)</w:t>
            </w:r>
          </w:p>
          <w:p>
            <w:pPr>
              <w:numPr>
                <w:numId w:val="97"/>
              </w:numPr>
            </w:pPr>
            <w:r>
              <w:t>M12 — Плащания по „Натура 2000“ и Рамковата директива за водите (член 30)</w:t>
            </w:r>
          </w:p>
          <w:p>
            <w:pPr>
              <w:numPr>
                <w:numId w:val="97"/>
              </w:numPr>
            </w:pPr>
            <w:r>
              <w:t>М13 — Плащания за райони, изправени пред природни или други специфични ограничения (член 31)</w:t>
            </w:r>
          </w:p>
          <w:p>
            <w:pPr>
              <w:numPr>
                <w:numId w:val="97"/>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8"/>
              </w:numPr>
            </w:pPr>
            <w:r>
              <w:t>М08 — Инвестиции в развитие на горските райони и подобряване на жизнеспособността на горите (членове 21 — 26)</w:t>
            </w:r>
          </w:p>
          <w:p>
            <w:pPr>
              <w:numPr>
                <w:numId w:val="98"/>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9"/>
              </w:numPr>
              <w:rPr>
                <w:b w:val="0"/>
              </w:rPr>
            </w:pPr>
            <w:r>
              <w:rPr>
                <w:b w:val="0"/>
              </w:rPr>
              <w:t>М01 — Трансфер на знания и действия за осведомяване (член 14)</w:t>
            </w:r>
          </w:p>
          <w:p>
            <w:pPr>
              <w:numPr>
                <w:numId w:val="9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9"/>
              </w:numPr>
              <w:rPr>
                <w:b w:val="0"/>
              </w:rPr>
            </w:pPr>
            <w:r>
              <w:rPr>
                <w:b w:val="0"/>
              </w:rPr>
              <w:t>M04 — Инвестиции в материални активи (член 17)</w:t>
            </w:r>
          </w:p>
          <w:p>
            <w:pPr>
              <w:numPr>
                <w:numId w:val="99"/>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59,8 млн. евро публични разходи или 2.1 %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148 млн.евро, или 5,2%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M04 — Инвестиции в материални активи (член 17)</w:t>
            </w:r>
          </w:p>
          <w:p>
            <w:pPr>
              <w:numPr>
                <w:numId w:val="101"/>
              </w:numPr>
            </w:pPr>
            <w:r>
              <w:t>М07 — Основни услуги и обновяване на селата в селските райони (член 20)</w:t>
            </w:r>
          </w:p>
          <w:p>
            <w:pPr>
              <w:numPr>
                <w:numId w:val="10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115 млн.евро или 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24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2"/>
              </w:numPr>
            </w:pPr>
            <w:r>
              <w:t>М01 — Трансфер на знания и действия за осведомяване (член 14)</w:t>
            </w:r>
          </w:p>
          <w:p>
            <w:pPr>
              <w:numPr>
                <w:numId w:val="102"/>
              </w:numPr>
            </w:pPr>
            <w:r>
              <w:t>М02 —  Консултантски услуги, услуги по управление на стопанство и услуги по заместване в стопанство (член 15)</w:t>
            </w:r>
          </w:p>
          <w:p>
            <w:pPr>
              <w:numPr>
                <w:numId w:val="102"/>
              </w:numPr>
            </w:pPr>
            <w:r>
              <w:t>M04 — Инвестиции в материални активи (член 17)</w:t>
            </w:r>
          </w:p>
          <w:p>
            <w:pPr>
              <w:numPr>
                <w:numId w:val="102"/>
              </w:numPr>
            </w:pPr>
            <w:r>
              <w:t>M10 — Агроекология и климат (член 28)</w:t>
            </w:r>
          </w:p>
          <w:p>
            <w:pPr>
              <w:numPr>
                <w:numId w:val="10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47 млн.евро или 1,6%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4%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90 % от бюджета на ПО 5Г (40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М08 — Инвестиции в развитие на горските райони и подобряване на жизнеспособността на горите (членове 21 — 26)</w:t>
            </w:r>
          </w:p>
          <w:p>
            <w:pPr>
              <w:numPr>
                <w:numId w:val="103"/>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7,2 млн. евро публични разходи, или 0,3 %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4"/>
              </w:numPr>
              <w:rPr>
                <w:b w:val="0"/>
              </w:rPr>
            </w:pPr>
            <w:r>
              <w:rPr>
                <w:b w:val="0"/>
              </w:rPr>
              <w:t>M06 — Развитие на стопанства и предприятия (член 19)</w:t>
            </w:r>
          </w:p>
          <w:p>
            <w:pPr>
              <w:numPr>
                <w:numId w:val="104"/>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p>
            <w:pPr>
              <w:numPr>
                <w:numId w:val="104"/>
              </w:numPr>
              <w:rPr>
                <w:b w:val="0"/>
              </w:rPr>
            </w:pPr>
            <w:r>
              <w:rPr>
                <w:b w:val="0"/>
              </w:rPr>
              <w:t>M22 - Exceptional temporary support to farmers and SMEs particularly affected by the impact of Russia's invasion of Ukraine (art 39b)</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83 млн.евро публични разходи или 2 %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3300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5"/>
              </w:numPr>
            </w:pPr>
            <w:r>
              <w:t>М07 — Основни услуги и обновяване на селата в селските райони (член 20)</w:t>
            </w:r>
          </w:p>
          <w:p>
            <w:pPr>
              <w:numPr>
                <w:numId w:val="105"/>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684 млн. евро или 24 %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6"/>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42 млн. евро или 1,5%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29%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000" w:type="dxa"/>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tcW w:w="12000" w:type="dxa"/>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bottom"/>
          </w:tcPr>
          <w:p>
            <w:pPr>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2,41</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0,54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544 682 066,00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 M16, M21, M22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197 020 524,40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18 500 000,00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0,04</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433 729 720,50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28 259 052,30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1 109 724 674,50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2,66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0,25</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22 345 329,10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tcW w:w="12000" w:type="dxa"/>
            <w:shd w:val="clear" w:color="auto" w:fill="FFFFFF"/>
            <w:noWrap w:val="0"/>
            <w:tcMar>
              <w:top w:w="20" w:type="dxa"/>
              <w:bottom w:w="20" w:type="dxa"/>
            </w:tcMar>
            <w:vAlign w:val="center"/>
          </w:tcPr>
          <w:p>
            <w:pPr>
              <w:spacing w:before="20" w:after="20"/>
              <w:jc w:val="left"/>
              <w:rPr>
                <w:b w:val="0"/>
                <w:sz w:val="16"/>
              </w:rPr>
            </w:pP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79 925 384,00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419 024 651,40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238 252 422,00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154 266 117,00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115 476 696,00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47 098 272,00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7 425 187,80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3 500,00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88 370 718,70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M06, M21, M22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776 019 714,80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42 000 000,00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M17, M08</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M12, 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1A, 2A, 5E, 5B, 2B, 6B, 6A, 3A, 5C, 6C, 5D, 5A, 3B, 1C, 1B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M15, M01, M02, M04, M07, M13, M10, M12, M14, M16, M19, M06, M11, M08, M09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3B, 6C, 6A, 5D, 2B, 5C, 5E, 5B, 1B, 3A, 1A, 6B, 2A, 5A, 1C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M19, M12, M09, M06, M13, M16, M02, M01, M11, M08, M14, M15, M04, M10,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3A, 2B, 6A, 1A, 5C, 5D, 5E, 6B, 1C, 5B, 3B, 6C, 5A, 1B, 2A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M12, M08, M16, M11, M19, M13, M14, M15, M10, M04, M01, M09, M07,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 6B, 5A, 5C, 2A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M19, M07, M04,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 6A, 2A, 6C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M16, M04, M07, M15, M08, M01, M19,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 6B, 2A, 5A, 5C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 M08, M16, M02,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5C, 6C, 5D, 2B, 3B, 1C, 5B, 5A, 5E, 6B, 3A, 1B, 6A, 1A, 2A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M10, M01, M02, M08, M12, M16, M04, M09, M07, M14, M19, M11, M15</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07"/>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8"/>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9"/>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10"/>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10"/>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1"/>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2"/>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2"/>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3"/>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4"/>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5"/>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16"/>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16"/>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16"/>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17"/>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17"/>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2025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Корекция EURI (B)</w:t>
            </w:r>
          </w:p>
        </w:tc>
        <w:tc>
          <w:tcPr>
            <w:tcW w:w="10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5 700,00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1 000,00</w:t>
            </w:r>
          </w:p>
        </w:tc>
        <w:tc>
          <w:tcPr>
            <w:tcW w:w="800" w:type="pct"/>
            <w:shd w:val="clear" w:color="auto" w:fill="FFFFFF"/>
            <w:noWrap w:val="0"/>
            <w:tcMar>
              <w:top w:w="20" w:type="dxa"/>
              <w:bottom w:w="20" w:type="dxa"/>
            </w:tcMar>
            <w:vAlign w:val="center"/>
          </w:tcPr>
          <w:p>
            <w:pPr>
              <w:jc w:val="right"/>
            </w:pPr>
            <w:r>
              <w:t>4 700,00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760 202 590,40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44 600 000,00</w:t>
            </w:r>
          </w:p>
        </w:tc>
        <w:tc>
          <w:tcPr>
            <w:tcW w:w="800" w:type="pct"/>
            <w:shd w:val="clear" w:color="auto" w:fill="FFFFFF"/>
            <w:noWrap w:val="0"/>
            <w:tcMar>
              <w:top w:w="20" w:type="dxa"/>
              <w:bottom w:w="20" w:type="dxa"/>
            </w:tcMar>
            <w:vAlign w:val="center"/>
          </w:tcPr>
          <w:p>
            <w:pPr>
              <w:jc w:val="right"/>
            </w:pPr>
            <w:r>
              <w:t>715 602 590,40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461 988 772,80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72 616 861,00</w:t>
            </w:r>
          </w:p>
        </w:tc>
        <w:tc>
          <w:tcPr>
            <w:tcW w:w="800" w:type="pct"/>
            <w:shd w:val="clear" w:color="auto" w:fill="FFFFFF"/>
            <w:noWrap w:val="0"/>
            <w:tcMar>
              <w:top w:w="20" w:type="dxa"/>
              <w:bottom w:w="20" w:type="dxa"/>
            </w:tcMar>
            <w:vAlign w:val="center"/>
          </w:tcPr>
          <w:p>
            <w:pPr>
              <w:jc w:val="right"/>
            </w:pPr>
            <w:r>
              <w:t>389 371 911,80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145,00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145,00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1 132 070 003,60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19 734 231,00</w:t>
            </w:r>
          </w:p>
        </w:tc>
        <w:tc>
          <w:tcPr>
            <w:tcW w:w="800" w:type="pct"/>
            <w:shd w:val="clear" w:color="auto" w:fill="FFFFFF"/>
            <w:noWrap w:val="0"/>
            <w:tcMar>
              <w:top w:w="20" w:type="dxa"/>
              <w:bottom w:w="20" w:type="dxa"/>
            </w:tcMar>
            <w:vAlign w:val="center"/>
          </w:tcPr>
          <w:p>
            <w:pPr>
              <w:jc w:val="right"/>
            </w:pPr>
            <w:r>
              <w:t>1 112 335 772,60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610 000,00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610 000,00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488 177 961,80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56 985 769,00</w:t>
            </w:r>
          </w:p>
        </w:tc>
        <w:tc>
          <w:tcPr>
            <w:tcW w:w="800" w:type="pct"/>
            <w:shd w:val="clear" w:color="auto" w:fill="FFFFFF"/>
            <w:noWrap w:val="0"/>
            <w:tcMar>
              <w:top w:w="20" w:type="dxa"/>
              <w:bottom w:w="20" w:type="dxa"/>
            </w:tcMar>
            <w:vAlign w:val="center"/>
          </w:tcPr>
          <w:p>
            <w:pPr>
              <w:jc w:val="right"/>
            </w:pPr>
            <w:r>
              <w:t>431 192 192,80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42 230,00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42 230,00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670,00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70,00</w:t>
            </w:r>
          </w:p>
        </w:tc>
        <w:tc>
          <w:tcPr>
            <w:tcW w:w="800" w:type="pct"/>
            <w:shd w:val="clear" w:color="auto" w:fill="FFFFFF"/>
            <w:noWrap w:val="0"/>
            <w:tcMar>
              <w:top w:w="20" w:type="dxa"/>
              <w:bottom w:w="20" w:type="dxa"/>
            </w:tcMar>
            <w:vAlign w:val="center"/>
          </w:tcPr>
          <w:p>
            <w:pPr>
              <w:jc w:val="right"/>
            </w:pPr>
            <w:r>
              <w:t>600,00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906 390 433,50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906 390 433,50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859,00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859,00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2025 г. (а): </w:t>
      </w:r>
      <w:r>
        <w:t>5 700,00</w:t>
      </w:r>
    </w:p>
    <w:p>
      <w:r>
        <w:t xml:space="preserve">Корекции за допълнителни плащания (б): </w:t>
      </w:r>
    </w:p>
    <w:p>
      <w:r>
        <w:t xml:space="preserve">Корекция EURI (B): </w:t>
      </w:r>
      <w:r>
        <w:t>1 000,00</w:t>
      </w:r>
    </w:p>
    <w:p>
      <w:r>
        <w:t xml:space="preserve">Целева абсолютна стойност (A—Б—В): </w:t>
      </w:r>
      <w:r>
        <w:t>4 700,00</w:t>
      </w:r>
    </w:p>
    <w:p>
      <w:pPr>
        <w:pStyle w:val="Heading4"/>
        <w:jc w:val="left"/>
      </w:pPr>
      <w:r>
        <w:t>Общо публични разходи П2 (в евро)</w:t>
      </w:r>
    </w:p>
    <w:p>
      <w:r>
        <w:t xml:space="preserve">Applicable: </w:t>
      </w:r>
      <w:r>
        <w:t>Да</w:t>
      </w:r>
    </w:p>
    <w:p>
      <w:r>
        <w:t xml:space="preserve">Цел за 2025 г. (а): </w:t>
      </w:r>
      <w:r>
        <w:t>760 202 590,40</w:t>
      </w:r>
    </w:p>
    <w:p>
      <w:r>
        <w:t xml:space="preserve">Корекции за допълнителни плащания (б): </w:t>
      </w:r>
    </w:p>
    <w:p>
      <w:r>
        <w:t xml:space="preserve">Корекция EURI (B): </w:t>
      </w:r>
      <w:r>
        <w:t>44 600 000,00</w:t>
      </w:r>
    </w:p>
    <w:p>
      <w:r>
        <w:t xml:space="preserve">Целева абсолютна стойност (A—Б—В): </w:t>
      </w:r>
      <w:r>
        <w:t>715 602 590,40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2025 г. (а): </w:t>
      </w:r>
      <w:r>
        <w:t>461 988 772,80</w:t>
      </w:r>
    </w:p>
    <w:p>
      <w:r>
        <w:t xml:space="preserve">Корекции за допълнителни плащания (б): </w:t>
      </w:r>
    </w:p>
    <w:p>
      <w:r>
        <w:t xml:space="preserve">Корекция EURI (B): </w:t>
      </w:r>
      <w:r>
        <w:t>72 616 861,00</w:t>
      </w:r>
    </w:p>
    <w:p>
      <w:r>
        <w:t xml:space="preserve">Целева абсолютна стойност (A—Б—В): </w:t>
      </w:r>
      <w:r>
        <w:t>389 371 911,80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2025 г. (а): </w:t>
      </w:r>
      <w:r>
        <w:t>145,00</w:t>
      </w:r>
    </w:p>
    <w:p>
      <w:r>
        <w:t xml:space="preserve">Корекции за допълнителни плащания (б): </w:t>
      </w:r>
    </w:p>
    <w:p>
      <w:r>
        <w:t xml:space="preserve">Корекция EURI (B): </w:t>
      </w:r>
      <w:r>
        <w:t>0,00</w:t>
      </w:r>
    </w:p>
    <w:p>
      <w:r>
        <w:t xml:space="preserve">Целева абсолютна стойност (A—Б—В): </w:t>
      </w:r>
      <w:r>
        <w:t>145,00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2025 г. (а): </w:t>
      </w:r>
      <w:r>
        <w:t>60,00</w:t>
      </w:r>
    </w:p>
    <w:p>
      <w:r>
        <w:t xml:space="preserve">Корекции за допълнителни плащания (б): </w:t>
      </w:r>
    </w:p>
    <w:p>
      <w:r>
        <w:t xml:space="preserve">Корекция EURI (B): </w:t>
      </w:r>
      <w:r>
        <w:t>0,00</w:t>
      </w:r>
    </w:p>
    <w:p>
      <w:r>
        <w:t xml:space="preserve">Целева абсолютна стойност (A—Б—В): </w:t>
      </w:r>
      <w:r>
        <w:t>60,00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2025 г. (а): </w:t>
      </w:r>
      <w:r>
        <w:t>1 132 070 003,60</w:t>
      </w:r>
    </w:p>
    <w:p>
      <w:r>
        <w:t xml:space="preserve">Корекции за допълнителни плащания (б): </w:t>
      </w:r>
    </w:p>
    <w:p>
      <w:r>
        <w:t xml:space="preserve">Корекция EURI (B): </w:t>
      </w:r>
      <w:r>
        <w:t>19 734 231,00</w:t>
      </w:r>
    </w:p>
    <w:p>
      <w:r>
        <w:t xml:space="preserve">Целева абсолютна стойност (A—Б—В): </w:t>
      </w:r>
      <w:r>
        <w:t>1 112 335 772,60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2025 г. (а): </w:t>
      </w:r>
      <w:r>
        <w:t>610 000,00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610 000,00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2025 г. (а): </w:t>
      </w:r>
      <w:r>
        <w:t>488 177 961,80</w:t>
      </w:r>
    </w:p>
    <w:p>
      <w:r>
        <w:t xml:space="preserve">Корекции за допълнителни плащания (б): </w:t>
      </w:r>
    </w:p>
    <w:p>
      <w:r>
        <w:t xml:space="preserve">Корекция EURI (B): </w:t>
      </w:r>
      <w:r>
        <w:t>56 985 769,00</w:t>
      </w:r>
    </w:p>
    <w:p>
      <w:r>
        <w:t xml:space="preserve">Целева абсолютна стойност (A—Б—В): </w:t>
      </w:r>
      <w:r>
        <w:t>431 192 192,80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2025 г. (а): </w:t>
      </w:r>
      <w:r>
        <w:t>42 230,00</w:t>
      </w:r>
    </w:p>
    <w:p>
      <w:r>
        <w:t xml:space="preserve">Корекции за допълнителни плащания (б): </w:t>
      </w:r>
    </w:p>
    <w:p>
      <w:r>
        <w:t xml:space="preserve">Корекция EURI (B): </w:t>
      </w:r>
      <w:r>
        <w:t>0,00</w:t>
      </w:r>
    </w:p>
    <w:p>
      <w:r>
        <w:t xml:space="preserve">Целева абсолютна стойност (A—Б—В): </w:t>
      </w:r>
      <w:r>
        <w:t>42 230,00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2025 г. (а): </w:t>
      </w:r>
      <w:r>
        <w:t>670,00</w:t>
      </w:r>
    </w:p>
    <w:p>
      <w:r>
        <w:t xml:space="preserve">Корекции за допълнителни плащания (б): </w:t>
      </w:r>
    </w:p>
    <w:p>
      <w:r>
        <w:t xml:space="preserve">Корекция EURI (B): </w:t>
      </w:r>
      <w:r>
        <w:t>70,00</w:t>
      </w:r>
    </w:p>
    <w:p>
      <w:r>
        <w:t xml:space="preserve">Целева абсолютна стойност (A—Б—В): </w:t>
      </w:r>
      <w:r>
        <w:t>600,00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2025 г. (а): </w:t>
      </w:r>
      <w:r>
        <w:t>906 390 433,50</w:t>
      </w:r>
    </w:p>
    <w:p>
      <w:r>
        <w:t xml:space="preserve">Корекции за допълнителни плащания (б): </w:t>
      </w:r>
    </w:p>
    <w:p>
      <w:r>
        <w:t xml:space="preserve">Корекция EURI (B): </w:t>
      </w:r>
      <w:r>
        <w:t>0,00</w:t>
      </w:r>
    </w:p>
    <w:p>
      <w:r>
        <w:t xml:space="preserve">Целева абсолютна стойност (A—Б—В): </w:t>
      </w:r>
      <w:r>
        <w:t>906 390 433,50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2025 г. (а): </w:t>
      </w:r>
      <w:r>
        <w:t>859,00</w:t>
      </w:r>
    </w:p>
    <w:p>
      <w:r>
        <w:t xml:space="preserve">Корекции за допълнителни плащания (б): </w:t>
      </w:r>
    </w:p>
    <w:p>
      <w:r>
        <w:t xml:space="preserve">Корекция EURI (B): </w:t>
      </w:r>
      <w:r>
        <w:t>0,00</w:t>
      </w:r>
    </w:p>
    <w:p>
      <w:r>
        <w:t xml:space="preserve">Целева абсолютна стойност (A—Б—В): </w:t>
      </w:r>
      <w:r>
        <w:t>859,00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2025 г. (а): </w:t>
      </w:r>
      <w:r>
        <w:t>1 370 000,00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2025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Корекция EURI (B)</w:t>
            </w:r>
          </w:p>
        </w:tc>
        <w:tc>
          <w:tcPr>
            <w:tcW w:w="8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330,00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2025 г. (а): </w:t>
      </w:r>
      <w:r>
        <w:t>330,00</w:t>
      </w:r>
    </w:p>
    <w:p>
      <w:r>
        <w:t xml:space="preserve">Корекции за допълнителни плащания (б): </w:t>
      </w:r>
    </w:p>
    <w:p>
      <w:r>
        <w:t xml:space="preserve">Корекция EURI (B): </w:t>
      </w:r>
    </w:p>
    <w:p>
      <w:r>
        <w:t xml:space="preserve">Целева абсолютна стойност (A—Б—В): </w:t>
      </w:r>
      <w:r>
        <w:t>330,00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128"/>
        <w:gridCol w:w="71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проектни предложения по инвестиционните мерки от Програмата, за които е приложимо, е допустимо провеждане на процедура за избор на изпълнител в съответствие с приложимото национално законодателство (ПМС №160) след подаване на проектното предложение и преди сключване на административeн договор.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2023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33"/>
              <w:gridCol w:w="1860"/>
              <w:gridCol w:w="1896"/>
              <w:gridCol w:w="1962"/>
            </w:tblGrid>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89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1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2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4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0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00" w:type="dxa"/>
                  <w:noWrap w:val="0"/>
                  <w:tcMar>
                    <w:top w:w="20" w:type="dxa"/>
                    <w:left w:w="20" w:type="dxa"/>
                    <w:bottom w:w="20" w:type="dxa"/>
                    <w:right w:w="20" w:type="dxa"/>
                  </w:tcMar>
                  <w:vAlign w:val="bottom"/>
                  <w:hideMark/>
                </w:tcPr>
                <w:p>
                  <w:pPr>
                    <w:numPr>
                      <w:ilvl w:val="0"/>
                      <w:numId w:val="121"/>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21"/>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00" w:type="dxa"/>
                  <w:noWrap w:val="0"/>
                  <w:tcMar>
                    <w:top w:w="20" w:type="dxa"/>
                    <w:left w:w="20" w:type="dxa"/>
                    <w:bottom w:w="20" w:type="dxa"/>
                    <w:right w:w="20" w:type="dxa"/>
                  </w:tcMar>
                  <w:vAlign w:val="top"/>
                  <w:hideMark/>
                </w:tcPr>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22"/>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23"/>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23"/>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0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4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0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25"/>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25"/>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7"/>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9"/>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Всички разходи се изплащат на бенефициента по подмярката. </w:t>
            </w:r>
            <w:r>
              <w:rPr>
                <w:rFonts w:ascii="Times New Roman" w:eastAsia="Times New Roman" w:hAnsi="Times New Roman" w:cs="Times New Roman"/>
                <w:szCs w:val="24"/>
                <w:u w:val="single"/>
              </w:rPr>
              <w:t>Безвъзмездната финансова помощ се предоставя под формата на стандартни разходи за</w:t>
            </w:r>
            <w:r>
              <w:rPr>
                <w:rFonts w:ascii="Times New Roman" w:eastAsia="Times New Roman" w:hAnsi="Times New Roman" w:cs="Times New Roman"/>
                <w:b/>
                <w:bCs/>
                <w:szCs w:val="24"/>
                <w:u w:val="single"/>
              </w:rPr>
              <w:t> </w:t>
            </w:r>
            <w:r>
              <w:rPr>
                <w:rFonts w:ascii="Times New Roman" w:eastAsia="Times New Roman" w:hAnsi="Times New Roman" w:cs="Times New Roman"/>
                <w:szCs w:val="24"/>
                <w:u w:val="single"/>
              </w:rPr>
              <w:t>р</w:t>
            </w:r>
            <w:r>
              <w:rPr>
                <w:rFonts w:ascii="Times New Roman" w:eastAsia="Times New Roman" w:hAnsi="Times New Roman" w:cs="Times New Roman"/>
                <w:szCs w:val="24"/>
              </w:rPr>
              <w:t xml:space="preserve">азходите за организиране и провеждане на </w:t>
            </w:r>
            <w:r>
              <w:rPr>
                <w:rFonts w:ascii="Times New Roman" w:eastAsia="Times New Roman" w:hAnsi="Times New Roman" w:cs="Times New Roman"/>
                <w:szCs w:val="24"/>
                <w:u w:val="single"/>
              </w:rPr>
              <w:t>демонстрационната дейност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3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Определянето на стойността </w:t>
            </w:r>
            <w:r>
              <w:rPr>
                <w:rFonts w:ascii="Times New Roman" w:eastAsia="Times New Roman" w:hAnsi="Times New Roman" w:cs="Times New Roman"/>
                <w:szCs w:val="24"/>
                <w:u w:val="single"/>
              </w:rPr>
              <w:t>на разходите за организиране и провеждане</w:t>
            </w:r>
            <w:r>
              <w:rPr>
                <w:rFonts w:ascii="Times New Roman" w:eastAsia="Times New Roman" w:hAnsi="Times New Roman" w:cs="Times New Roman"/>
                <w:szCs w:val="24"/>
              </w:rPr>
              <w:t>  за всеки вид о</w:t>
            </w:r>
            <w:r>
              <w:rPr>
                <w:rFonts w:ascii="Times New Roman" w:eastAsia="Times New Roman" w:hAnsi="Times New Roman" w:cs="Times New Roman"/>
                <w:szCs w:val="24"/>
                <w:u w:val="single"/>
              </w:rPr>
              <w:t>демонстрационна дейност</w:t>
            </w:r>
            <w:r>
              <w:rPr>
                <w:rFonts w:ascii="Times New Roman" w:eastAsia="Times New Roman" w:hAnsi="Times New Roman" w:cs="Times New Roman"/>
                <w:szCs w:val="24"/>
              </w:rPr>
              <w:t xml:space="preserve">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Заплащането на разходите за участниците ще става посредством стандартна таблица за единица продукт по </w:t>
            </w:r>
            <w:r>
              <w:rPr>
                <w:rFonts w:ascii="Times New Roman" w:eastAsia="Times New Roman" w:hAnsi="Times New Roman" w:cs="Times New Roman"/>
                <w:szCs w:val="24"/>
                <w:u w:val="single"/>
              </w:rPr>
              <w:t>подмерки 1.1 и 1.2</w:t>
            </w:r>
            <w:r>
              <w:rPr>
                <w:rFonts w:ascii="Times New Roman" w:eastAsia="Times New Roman" w:hAnsi="Times New Roman" w:cs="Times New Roman"/>
                <w:szCs w:val="24"/>
              </w:rPr>
              <w:t xml:space="preserve"> - </w:t>
            </w:r>
            <w:r>
              <w:rPr>
                <w:rFonts w:ascii="Times New Roman" w:eastAsia="Times New Roman" w:hAnsi="Times New Roman" w:cs="Times New Roman"/>
                <w:szCs w:val="24"/>
                <w:u w:val="single"/>
              </w:rPr>
              <w:t>за разходите за организиране и провеждане на всеки вид  демонстрационна дейност</w:t>
            </w:r>
            <w:r>
              <w:rPr>
                <w:rFonts w:ascii="Times New Roman" w:eastAsia="Times New Roman" w:hAnsi="Times New Roman" w:cs="Times New Roman"/>
                <w:szCs w:val="24"/>
              </w:rPr>
              <w:t>.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подмярка 1.2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Процедура за прилагане на стандартна таблица на опростени разходи по подмярка 1.2 за разходите за организиране и провеждане на демонстрационните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Демонстрационните дейности се предоставят на лица, допустими за участие.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демонстрационни дейности. Допустими са междинни плащания след приключване на една или няколко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1"/>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предоставяне на пакет А2Б на кандидатите по подмярка 6.1.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3"/>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5"/>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 и прилагане на единна ставка, определена чрез прилагане на процент към една или няколко определени категории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 или единна ставка за оперативни разходи, свързани с функционирането на мобилните центрове;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въз основа на които се предоставят консултантски услуги по мярката и се определя икономическия размер на земеделските стопанства, са в съответствие с актуалните данни по отношение на стандартната продукция (стандартен производствен обем)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6"/>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3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numPr>
                <w:ilvl w:val="0"/>
                <w:numId w:val="13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андидатите за подпомагане подали проектно предложение след 01.01.2021 г. следва да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 с изключение на кандидати групи или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 За кандидати групи или организации на производители условието по т. 2 не се прилага индивидуално за членовете, а се счита за изпълнено, ако общият стандартен производствен обем, формиран като сбор от стандартните производствени обеми на земеделските стопанства на членовете на групата или организацията, отнесен към броя на земеделските стопани, членове на групата или организацията, е не по-малко от левовата равностойност на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3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4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w:t>
            </w:r>
            <w:r>
              <w:rPr>
                <w:rFonts w:ascii="Times New Roman" w:eastAsia="Times New Roman" w:hAnsi="Times New Roman" w:cs="Times New Roman"/>
                <w:szCs w:val="24"/>
                <w:u w:val="single"/>
              </w:rPr>
              <w:t> включително инвестиции и дейности, които допринасят за устойчивото и цифрово икономическо възстановяване. </w:t>
            </w:r>
            <w:r>
              <w:rPr>
                <w:rFonts w:ascii="Times New Roman" w:eastAsia="Times New Roman" w:hAnsi="Times New Roman" w:cs="Times New Roman"/>
                <w:szCs w:val="24"/>
              </w:rPr>
              <w:t>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стопанството технологии, като - иновативни производствени технологии, цифрови технологии за производство и организация в селското стопанство, автоматизиране на работните процеси в селскостопанското производство, включително подходи приложени чрез Европейското партньорство за иновации (например: инвестиции за ефективно използване на ресурсите, включително прецизно и интелигентно земеделие, иновации и цифровизация и модернизация на производствените машини и оборудване).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1 000 000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50 %.</w:t>
            </w:r>
          </w:p>
          <w:p>
            <w:pPr>
              <w:numPr>
                <w:ilvl w:val="0"/>
                <w:numId w:val="1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1 000 001 евро до 1 500 000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35 %.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1 500 000 евро, като максималният размер на допустимите разходи за един проект не може да надхвърля 1 500 000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инвестиции в земеделска техника за един кандидат за периоди на прием проведени след 01.01.2021 г. е в рамките на 250 000 евро. Разходите за земеделска техника не се считат за инвестиции в обхвата на дейностите по Next Generation във връзка с предоставянето на по-висок интензитет на финансова помощ</w:t>
            </w:r>
            <w:r>
              <w:rPr>
                <w:rFonts w:ascii="Times New Roman" w:eastAsia="Times New Roman" w:hAnsi="Times New Roman" w:cs="Times New Roman"/>
                <w:szCs w:val="24"/>
                <w:u w:val="single"/>
              </w:rPr>
              <w:t>.</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4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6"/>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9"/>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за подпомагане, подали проектно предложение след 01.01.2021 г. следва да са извършвали дейности по преработка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а кандидати земеделски стопани, подали проектно предложение след 01.01.2021 г. условието се счита за изпълнено, ако същите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 групи или организации на производители подали проектно предложение след 01.01.2021 г. условието се счита за изпълнено ако същите са извършвали дейност от най-малко 36 месеца към датата на подаване на проектното предложение;</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w:t>
            </w:r>
            <w:r>
              <w:rPr>
                <w:rFonts w:ascii="Times New Roman" w:eastAsia="Times New Roman" w:hAnsi="Times New Roman" w:cs="Times New Roman"/>
                <w:szCs w:val="24"/>
                <w:u w:val="single"/>
              </w:rPr>
              <w:t>включително инвестиции и дейности, които допринасят за устойчивото и цифрово икономическо възстановяване.</w:t>
            </w:r>
            <w:r>
              <w:rPr>
                <w:rFonts w:ascii="Times New Roman" w:eastAsia="Times New Roman" w:hAnsi="Times New Roman" w:cs="Times New Roman"/>
                <w:szCs w:val="24"/>
              </w:rPr>
              <w:t>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предприятието технологии, като - иновативни технологии, автоматизиране на производствените и оргонизационни процеси, включително подходи приложени чрез Европейското партньорство за иновации.</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2 000 000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50 %.</w:t>
            </w:r>
          </w:p>
          <w:p>
            <w:pPr>
              <w:numPr>
                <w:ilvl w:val="0"/>
                <w:numId w:val="1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2 000 001 евро до 3 000 000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35 %.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3 000 000 евро, като максималният размер на допустимите разходи за един проект не може да надхвърля 3 000 000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4"/>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9"/>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71"/>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71"/>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7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7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7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424"/>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74"/>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74"/>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7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7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8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8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8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84"/>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 xml:space="preserve">от </w:t>
            </w:r>
            <w:r>
              <w:rPr>
                <w:rFonts w:ascii="Times New Roman" w:eastAsia="Times New Roman" w:hAnsi="Times New Roman" w:cs="Times New Roman"/>
                <w:szCs w:val="24"/>
                <w:u w:val="single"/>
              </w:rPr>
              <w:t>опасни метеорологични явления - градушки.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420"/>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8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w:t>
            </w:r>
            <w:r>
              <w:rPr>
                <w:rFonts w:ascii="Times New Roman" w:eastAsia="Times New Roman" w:hAnsi="Times New Roman" w:cs="Times New Roman"/>
                <w:szCs w:val="24"/>
                <w:u w:val="single"/>
              </w:rPr>
              <w:t xml:space="preserve"> </w:t>
            </w:r>
            <w:r>
              <w:rPr>
                <w:rFonts w:ascii="Times New Roman" w:eastAsia="Times New Roman" w:hAnsi="Times New Roman" w:cs="Times New Roman"/>
                <w:b/>
                <w:bCs/>
                <w:szCs w:val="24"/>
                <w:u w:val="single"/>
              </w:rPr>
              <w:t>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Материални инвестиции:</w:t>
            </w:r>
          </w:p>
          <w:p>
            <w:pPr>
              <w:numPr>
                <w:ilvl w:val="0"/>
                <w:numId w:val="18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радарни станции, вкл. оборудване за анализ и съхранение на бази данни;</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специализирани транспортни средства за превоз на противоградна техника и специфични товари;</w:t>
            </w:r>
          </w:p>
          <w:p>
            <w:pPr>
              <w:numPr>
                <w:ilvl w:val="0"/>
                <w:numId w:val="18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инсталации, включително разходи за монтаж и въвеждане в експлоатация на радарни станции.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Нематериални инвестиции:</w:t>
            </w:r>
          </w:p>
          <w:p>
            <w:pPr>
              <w:numPr>
                <w:ilvl w:val="0"/>
                <w:numId w:val="18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лицензи, придобиване и разработка на софтуер за противоградна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Частни субекти – Регистрирани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9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изграждане или закупуване на съоръжения или системи за повишаване безопасността при съхранение на фуражи;</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19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19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1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1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1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1 500 000 евро за кандидати с животновъдни стопанства, отглеждащи свине;</w:t>
            </w:r>
          </w:p>
          <w:p>
            <w:pPr>
              <w:numPr>
                <w:ilvl w:val="0"/>
                <w:numId w:val="1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1 000 000 евро за кандидати с животновъдни стопанства, отглеждащи птици;</w:t>
            </w:r>
          </w:p>
          <w:p>
            <w:pPr>
              <w:numPr>
                <w:ilvl w:val="0"/>
                <w:numId w:val="1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птици, максимална стойност на допустимите разходите за един животновъден обект е в размер до 500 000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95"/>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1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1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19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1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2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01"/>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2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2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2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2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2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numPr>
                <w:ilvl w:val="0"/>
                <w:numId w:val="2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0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2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2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2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2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2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2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2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12"/>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трябва да са получили минимум 33 % от общия доход за преходната година от земеделски дейности, като това изискване не се прилага за проектни предложения, подадени след 01.01.2021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емеделското стопанство е разположено на територията на необлагодетелствани райони с природни и други ограничения, съгласно наредбата за определяне на критериите за необлагодетелстваните райони и териториалния им обхват (приета с ПМС №30 ОТ 15.02.2008 г.; ДВ, бр. 20 от 2008 г.) и/или места по Натура 2000;</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numPr>
                <w:ilvl w:val="0"/>
                <w:numId w:val="2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1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1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1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0"/>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8"/>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3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36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във връзка с чл. 2, параграфи 1 и 2 от 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 Определеният таван от 10 000 000 евро не се прилага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постигане на допълняемост и координация с всички оперативни програми участващи в подхода ИТИ, по ПРСР ще се подпомагат проекти, представляващи част от концепция за ИТИ, на територията на общини, в които няма населено място с население над 15 000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Новата национална дефиниция определя като „селски райони” общините, в които няма населено място с население над 15 000 души, в която попадат 215 от всички 265 общини на територията на страната. Всички дейности за малка по мащаби инфраструктура през периода на удължаване на срока на програмата ще са допустими единствено на територията на селските райони, определени по новата национална дефиниция.</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38"/>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могат да се изпълняват и чрез прилагането на инструмент „Интегрирани териториални инвестиции“ (ИТИ), след вземане на национално решение и в съответствие с чл. 36 от Регламент (ЕС) № 1303/2013 във връзка с чл. 2, параграфи 1 и 2 от Регламент (ЕС) 2020/2220. Мерките, които ще бъдат подкрепени през инструмента ИТИ, следва да бъдат в съответствие с предварително идентифицираните цели и приоритети за развитие в съответните интегрирани териториални стратегии за развитие на регионите за планиране от ниво 2 (подход „отдолу-нагоре“), както и с картирането на нуждите от инвестиции в съответните сектори, изготвено на национално ниво от отговорните за политиката ведомства (подход „отгоре-надолу“). В рамките на изпълнението на интегрирания териториален подход ще бъде подкрепено изпълнението на концепции за ИТИ, представляващи набор от взаимосвързани и допълващи се (интегрирани) проектни идеи, насочени към територии с общи характеристики и/или потенциал за развитие и включващи най-подходящата комбинация от ресурси и мерки, които да бъдат използвани за постигане на конкретна цел или приоритет на местно ниво. Концепциите за ИТИ следва да бъдат изпълнявани от партньорства, включващи широк кръг заинтересовани страни и участници в социално-икономическия живот на конкретната територия. Източниците за финансиране на отделните проекти, включени в концепциите за ИТИ, са разнообразни и включват програми, съфинансирани от ЕФРР, ЕСФ+, КФ, СПРЗСР, финансови инструменти, държавен и общински бюджет, собствени средства и др., като изпълнение на отделните проекти следва да бъде осъществявано по координиран начин.</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Общини в селските райони за проекти представляващи част от концепция за ИТИ.</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периода от въвеждане в експлоатация на инвестицията по сключения административен договор до края на мониторинговия период.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 Изискването не се прилага за проекти представляващи част от концепция за ИТИ.Изискването не се прилага и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допустими са само проекти, които са част от концепция за ИТИ, включена в окончателния списък с одобрени концепции от Регионалните съвети за развитие (РСР).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пътища;</w:t>
            </w:r>
          </w:p>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насочени към производство на енергия за собствено потребление от възобновяеми енергийни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изискването на чл. 49, параграф 1 от Регламент (ЕС) № 1303/2013 за подбор на операции, ще се прилага чрез подбор на концепции за ИТИ от Регионалните съвети за развитие.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2"/>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6"/>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подпомогнати от ОПРР</w:t>
            </w:r>
            <w:r>
              <w:rPr>
                <w:rFonts w:ascii="Times New Roman" w:eastAsia="Times New Roman" w:hAnsi="Times New Roman" w:cs="Times New Roman"/>
                <w:szCs w:val="24"/>
              </w:rPr>
              <w:t>.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63"/>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лица,  еднолични търговци и местни поделения на вероизповеданията, собственици на земеделски и неземеделски земи;</w:t>
            </w:r>
          </w:p>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земеделски и неземеделски земи;</w:t>
            </w:r>
          </w:p>
          <w:p>
            <w:pPr>
              <w:numPr>
                <w:ilvl w:val="0"/>
                <w:numId w:val="2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собственици на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6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6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66"/>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с която ще се кандидатства за залесяване,  трябва да бъде както следва:</w:t>
            </w:r>
          </w:p>
          <w:p>
            <w:pPr>
              <w:numPr>
                <w:ilvl w:val="0"/>
                <w:numId w:val="2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лица, еднолични търговци и местни поделения на вероизповеданията – 0.5 ха;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и юридически лица – 1.0 ха;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73"/>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7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8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84"/>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8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2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9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2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96"/>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2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9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3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0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1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 като поетите ангажименти през 2021 г. се изпълняват за срок от една година. От 2022 година ангажименти,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2022г. са с продължителност 3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площи от ангажимента на земеделски стопанин бъдат изключени от обхвата на мярката, поради влезли в сила заповеди за обявяване на зони по Натура 2000,  ангажимента може да се прекрати и в съответствие с чл. 48 от Регламент (ЕС) № 1305/2013 няма да се изисква възстановяване на полученото финансово подпомагане по направлението.</w:t>
            </w:r>
          </w:p>
          <w:p>
            <w:pPr>
              <w:numPr>
                <w:ilvl w:val="0"/>
                <w:numId w:val="3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стопанин може да продължи да изпълнява дейности по направлението само с площи от ангажимента, които не са изключени от обхвата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паша - 126,80 Евро/ха. За заявените за подпомагане площи през  2021 г. и след нея.  - 134,09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-113,51 евро /ха. За заявените за подпомагане площи през 2021 г. и след нея  – 125,78 Евро/ха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2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3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за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2022 година новите ангажименти и тези,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поетият ангажимент;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следните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Превръщане на обработваеми земеделски земи в постоянно затревени площи, чрез използване на многогодишни тревни смески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мероприятия в лозя и трайни насаждения -</w:t>
            </w:r>
          </w:p>
          <w:p>
            <w:pPr>
              <w:numPr>
                <w:ilvl w:val="0"/>
                <w:numId w:val="337"/>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 - поддържане на нисък тревостой на междуредовото затревяване и вътрешноредово окопаване на насажденията;</w:t>
            </w:r>
          </w:p>
          <w:p>
            <w:pPr>
              <w:numPr>
                <w:ilvl w:val="0"/>
                <w:numId w:val="337"/>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 - дължината на браздите е 5-10 м, като се прекъсват през 5 м. Разполагат се перпендикулярно на наклона и шахматно по склона в редовете. Браздите се прокопават три пъти годишно.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мероприятие в обработваеми земи:</w:t>
            </w:r>
          </w:p>
          <w:p>
            <w:pPr>
              <w:numPr>
                <w:ilvl w:val="0"/>
                <w:numId w:val="338"/>
              </w:numPr>
              <w:spacing w:before="24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с медоносна тревна растителност – ширината на ивиците е от поне  4м. Прокарват се  напречно на склона в зависимост от наклона на терена, почвения тип и други фактори. В зависимост от разстоянието между тях и ширината им те заемат поне 15 % от обработваемата площ на парцел.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окопни със слята повърхност култури перпендикулярно на склона - поясите, широки 30-100 м, с редуващи се окопни и слятопокровни култури, се  разполагат перпендикулярно (напречно) на склона (по контура).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предоставят план за противоерозионни дейности, изготвен от дипломиран агроном и документ при закупуване на тревните смески и семена на медоносни растения.</w:t>
            </w:r>
          </w:p>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 За заявените за подпомагане площи през  2021 г. и след нея -157,48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 За заявените за подпомагане площи през  2021 г. и след нея – 128,85 евро/ха;</w:t>
            </w:r>
          </w:p>
          <w:p>
            <w:pPr>
              <w:numPr>
                <w:ilvl w:val="0"/>
                <w:numId w:val="3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 За заявените за подпомагане площи през  2021 г. и след нея създаване и поддържане на буферни ивици с медоносна тревна растителност - 63,82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за поясно редуване на културите – 38,2 евро/ха. За заявените за подпомагане площи през  2021 г. – 91,88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4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w:t>
            </w:r>
            <w:r>
              <w:rPr>
                <w:rFonts w:ascii="Times New Roman" w:eastAsia="Times New Roman" w:hAnsi="Times New Roman" w:cs="Times New Roman"/>
                <w:szCs w:val="24"/>
                <w:u w:val="single"/>
              </w:rPr>
              <w:t xml:space="preserve"> </w:t>
            </w:r>
            <w:r>
              <w:rPr>
                <w:rFonts w:ascii="Times New Roman" w:eastAsia="Times New Roman" w:hAnsi="Times New Roman" w:cs="Times New Roman"/>
                <w:szCs w:val="24"/>
              </w:rPr>
              <w:t>не по-късно от 2022г.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Ангажиментите от 2022 година са с продължителност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едни и същи земеделски парцели по направлението и по мярка 12 „Плащания по Натура 2000 и Рамковата директива за водите“ от Програмата за развитие на селските райони за периода 2014 - 2020 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 като земеделските стопани не извеждат по–голям брой животни от определените в разрешителните за паша.</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и природните паркове.</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Животните се придружавани от пастир (гледач), ако не се придружават от земеделския стопанин.</w:t>
            </w:r>
          </w:p>
          <w:p>
            <w:pPr>
              <w:numPr>
                <w:ilvl w:val="0"/>
                <w:numId w:val="3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придружаващите стадото кучета се поставя спъвачка.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нарушаване на естественото състояние на водни площи, водни течения, техните брегове и прилежащи територии, освен в случаи на опасност от наводнения, които могат да доведат до риск за живота и здравето на хората или настъпване на материални щети; замърсяване на водите и терените с битови, промишлени и други отпадъци;  бивакуване и палене на огън извън определените места; намеса в биологичното разнообразие.( Чл. 21 от Закона за защитените територии, т. 4, 6, 9, 12, 13, 14).</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резерватите се забраняват всякакви дейности, с изключение на посочените в чл. 17 от Закона за защитените територии.</w:t>
            </w:r>
          </w:p>
          <w:p>
            <w:pPr>
              <w:numPr>
                <w:ilvl w:val="0"/>
                <w:numId w:val="3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природните паркове се спазват забраните предвидени в чл. 31 от Закона за защитените територии, както и забраните предвидени в чл. 21, ал. 1, когато са приети с плановете за управление.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ежегодно удължаване на срока не по-късно от 2022 г. Поети ангажименти през 2021 се изпълняват за срок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едър рогат добитък и биволи –  200 евро/животинска единица (ЖЕ);</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 145 евро/ЖЕ;</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свине - 122 евро/ЖЕ;</w:t>
            </w:r>
          </w:p>
          <w:p>
            <w:pPr>
              <w:numPr>
                <w:ilvl w:val="0"/>
                <w:numId w:val="3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коне – 143 евро/ЖЕ;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9"/>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 не по-късно от 2022 г. Ангажиментите на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–223,95 евро/ха;За заявените за подпомагане площи след 01.01.2018 г. – 221,39 евро/ха;</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–787,39 евро/ха;</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- 429,48 евро/ха;</w:t>
            </w:r>
          </w:p>
          <w:p>
            <w:pPr>
              <w:numPr>
                <w:ilvl w:val="0"/>
                <w:numId w:val="3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6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три пъти годишно. Затревяване на междуредовото пространство на трайни насаждения. Тарифната ставка включва разходите за механизирани обработка по косене и почистване на междуредовите пространства, както и повишените трудови разходи.За създаване и поддържане на буферни ивици. Тук се отчита избягването на двойно финансиране на 5% ЕНП, задължителна по зелените плащания, а компонентите на ставката включват пропуснатите ползи от превръщането на част от обработваемата площ в затревени буферни ивици, както и допълнителните разходи за затревяването на буферните ивици с медоносна растителност, приспадайки възможните допълнителни приходи от затревената площ. Получената стойност от двата компонентна е умножена с дела на затревената буферна площ, за да се разпредели плащането върху целия парцел.</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на базата пропуснати ползи заради разликата в брутните маржини между окопните култури и културите на слята повърхност. Взета са предвид и увеличените разходи от прилагането на такава дейност, които представляват 7% от променливите разходи за окопни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83"/>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2021 г., когато периода на преход към биологично производство е стартирал преди края на 2020 г. и не е по-дълъг от продължителността на ангажимента.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до 3 г. включително в съответствие с приетото законодателство за периода 2021-2022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2022 г., когато периода на преход към биологично производство е стартирал преди края на 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по подмярката може да се предоставя за срок не по-дълъг от минималните периоди на преход към биологично производство.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84"/>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след 01.01.2022г на Регламент(ЕС) 2018/848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а след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ангажимента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ангажимента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 направление „Биологично растениевъдство“, заявени за подпомагане през 2021 и следващи кампании, може да се получава плащане, в случай, че е спазено изискването за отглеждане на биологични животни, заявени по направление „Биологично животновъдство“ при спазване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 а след 01.01.2022 г. съгласно т.1.7.1 от част I на Приложение II част от  Регламент(ЕС) 2018/848.</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numPr>
                <w:ilvl w:val="0"/>
                <w:numId w:val="3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 на земеделски стопанин, включени в слой „Биологични площи“, не могат да бъдат подпомагани за дейности за преход към биологично производство, както и сертифицираните животни и пчелини с пчелни семейства.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3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3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9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3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3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3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0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0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03"/>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 По тази подмярка ще се подпомагат на територията на цялата страна: биологични стопанства, съгласно дефинициите на Регламент (ЕО) № 834/2007, а след 01.01.2022 на Регламент(ЕС) 2018/848,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2021 г. могат да се поемат нови ангажименти с продължителност до 2 г. за кандидати изпълняващи ангажименти по ПРСР 2014-2020 или продължаващите ангажиментите да бъдат ежегодно удължавани до края на 2022. Ангажиментите за нови кандидати може да са с продължителност от 1 до 3 г в съответствие с приетото законодателство за периода 2021-2022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1 г. в съответствие с приетото законодателство за периода 2021-2022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и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0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от 01.01.2022 г. на Регламент(ЕС) 2018/848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а от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 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numPr>
                <w:ilvl w:val="0"/>
                <w:numId w:val="4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Удължените след 2020 г. ангажименти се изпълняват на одобрената за подкрепа площ за извършване на дейности по направление „Биологично растениевъдство“, която може да варира с процент по-голям от 10 % като ангажимента продължава да се изпълнява с площите, за които земеделските стопани имат регистрирано правно основание за ползване за съответната година.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с които се поема нов ангажимент по подмярката трябва да  са вписани в регистъра по чл. 16а, ал. 1, т. 1 от Закона за прилагане на Общата организация на пазарите на земеделски продукти на Европейския съюз;</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w:t>
            </w:r>
          </w:p>
          <w:p>
            <w:pPr>
              <w:numPr>
                <w:ilvl w:val="0"/>
                <w:numId w:val="4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1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2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2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Одобрената за подкрепа площ на удължените след 2020 г. ангажименти може да варира с процент по-голям от 10 %, като ангажимента продължава да се изпълнява с площите, за които земеделските стопани имат правно основание за ползване за съответната година.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 площи за оставащия период.</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без да поемат нов ангажимент не по-късно от 2022 година.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за използване на продукти за растителна защита в горското и селското и/или забрана употреба на минерални торове, както и на продукти за растителна защита и биоциди.</w:t>
            </w:r>
          </w:p>
          <w:p>
            <w:pPr>
              <w:numPr>
                <w:ilvl w:val="0"/>
                <w:numId w:val="4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Данни използвани от ДФЗ-РА при прилагане на мярката - Електронен регистър по чл. 45 от Наредба 5 от 2018 г.  и слой „Биологични площи“</w:t>
            </w:r>
          </w:p>
          <w:p>
            <w:pPr>
              <w:numPr>
                <w:ilvl w:val="0"/>
                <w:numId w:val="4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въз основа на данните в регистъра по чл. 45, предоставя на ДФЗ-РА информация за включените в система на контрол площи, животни и пчелни семейства към края на предходната година.</w:t>
            </w:r>
          </w:p>
          <w:p>
            <w:pPr>
              <w:numPr>
                <w:ilvl w:val="0"/>
                <w:numId w:val="43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ДФЗ-РА може да извършва проверки и въз основа на този регистър.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предоставя на ДФЗ-РА цифрови географски данни за площите преминали периода на преход и за които е издаден сертификат от Контролиращото лице (слой „Биологични площи“). Площите, включени в слоя, сертифицираните животни и пчелини с пчелни семейства могат да бъдат подпомагани само за дейности от подмярка 11.2. „Плащания за поддържане на практики и методи за биологично земеделие“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35"/>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7"/>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38"/>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Приложение №13А и Приложение 13Б.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4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и Директива 92/43/ЕИО за опазване на природните местообитания и на дивата флора и фауна.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16. Употреба на изкуствени торове и химически средства за растителна защита.</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природни и почвени ограничения, считани в методиката, като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4"/>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4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16. Употреба на изкуствени торове и химически средства за растителна защита.</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 незасегнати от природни и почвени ограничения, считани в методиката, като незасегнати от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numPr>
                <w:ilvl w:val="0"/>
                <w:numId w:val="4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използване на продукти за растителна защита в горското и селското и/или забрана за употреба на минерални торове, както и на продукти за растителна защита и биоциди.           </w:t>
            </w:r>
          </w:p>
          <w:p>
            <w:pPr>
              <w:numPr>
                <w:ilvl w:val="0"/>
                <w:numId w:val="4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площи, попадащи едновременно в обхвата на защитени зони по Директивата за птиците 2009/147/ЕО и Директива 92/43/ЕИО за опазване на природните местообитания и на дивата флора и фауна спазват всички забрани/режими/ограничения в заповедите и плановете за управление на съответните зони, но могат да получат компенсаторно плащане само за забраните и ограниченията за селскостопанска дейност в една зона.</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1"/>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2"/>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13.3. Компенсационни плащания за други райони, засегнати от специфични ограничения</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Районите със специфични ограничения обхващат земеделски площи, в рамките на които естествените условия за производство са сходни и общата площ на които не надвишава 10 % от територията на съответната държава членка.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е възприет подход съгласно чл. 32, параграф 4 на Регламент 1305/2013,при който най-малко 60 % от земеделската площ отговаря на поне два от критериите, посочени в приложение III, всеки в рамките на не повече от 20 % от определената прагова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държавите членки предприемат процедурата на прецизираневъз основа на обективни критерии с цел изключване на райони, в които са отчетени съществени природни ограничения,но те са преодолени чрез инвестиции, чрез стопанска дейност, или чрез доказателства за нормална производителност на земята, или в които производствените методи или селскостопанските системи са компенсирали загубата на доходи или добавените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на прецизирането е използван критерия нормална производителност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другите райони със специфични ограничения в България е представен в таблицата.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w:t>
            </w:r>
            <w:r>
              <w:rPr>
                <w:rFonts w:ascii="Times New Roman" w:eastAsia="Times New Roman" w:hAnsi="Times New Roman" w:cs="Times New Roman"/>
                <w:b/>
                <w:bCs/>
                <w:szCs w:val="24"/>
              </w:rPr>
              <w:t>те</w:t>
            </w:r>
            <w:r>
              <w:rPr>
                <w:rFonts w:ascii="Times New Roman" w:eastAsia="Times New Roman" w:hAnsi="Times New Roman" w:cs="Times New Roman"/>
                <w:b/>
                <w:bCs/>
                <w:szCs w:val="24"/>
              </w:rPr>
              <w:t xml:space="preserve"> райони</w:t>
            </w:r>
            <w:r>
              <w:rPr>
                <w:rFonts w:ascii="Times New Roman" w:eastAsia="Times New Roman" w:hAnsi="Times New Roman" w:cs="Times New Roman"/>
                <w:b/>
                <w:bCs/>
                <w:szCs w:val="24"/>
              </w:rPr>
              <w:t xml:space="preserve"> със </w:t>
            </w:r>
            <w:r>
              <w:rPr>
                <w:rFonts w:ascii="Times New Roman" w:eastAsia="Times New Roman" w:hAnsi="Times New Roman" w:cs="Times New Roman"/>
                <w:b/>
                <w:bCs/>
                <w:szCs w:val="24"/>
              </w:rPr>
              <w:t>специфични ограничения (ТАБЛИЦА 1)</w:t>
            </w:r>
          </w:p>
          <w:p>
            <w:pPr>
              <w:pStyle w:val="BodyText"/>
              <w:jc w:val="both"/>
              <w:rPr>
                <w:b w:val="0"/>
              </w:rPr>
            </w:pPr>
          </w:p>
          <w:p>
            <w:pPr>
              <w:pStyle w:val="BodyText3"/>
              <w:jc w:val="left"/>
              <w:rPr>
                <w:b w:val="0"/>
              </w:rPr>
            </w:pPr>
            <w:r>
              <w:rPr>
                <w:b w:val="0"/>
              </w:rPr>
              <w:drawing>
                <wp:inline>
                  <wp:extent cx="6629400" cy="14668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8"/>
                          <a:stretch>
                            <a:fillRect/>
                          </a:stretch>
                        </pic:blipFill>
                        <pic:spPr>
                          <a:xfrm>
                            <a:off x="0" y="0"/>
                            <a:ext cx="6629400" cy="1466850"/>
                          </a:xfrm>
                          <a:prstGeom prst="rect">
                            <a:avLst/>
                          </a:prstGeom>
                        </pic:spPr>
                      </pic:pic>
                    </a:graphicData>
                  </a:graphic>
                </wp:inline>
              </w:drawing>
            </w:r>
          </w:p>
          <w:p>
            <w:pPr>
              <w:pStyle w:val="Footer"/>
              <w:jc w:val="center"/>
              <w:rPr>
                <w:b w:val="0"/>
              </w:rPr>
            </w:pPr>
            <w:r>
              <w:rPr>
                <w:b w:val="0"/>
              </w:rPr>
              <w:t>Таблица1</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ограничения в райони със специфични ограничения.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други райони със специфични ограничения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със специфични ограничения, в зависимост от размера на стопанството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 50,0 ха – 59,15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–27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- 13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доц. д-р Божидар Иванов, Институт по аграрна икономика. Източниците на изходната информация за изчисляване на подпомагането са предоставени данни от Дирекция „Развитие на селските райони” към МЗХГсъс съдействието на дирекция „Идентификация на земеделски парцели“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със специфични ограничения,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32, параграф 4 България е възприела подход за определяне надруги райони със специфични ограниченияна база изискванията най-малко 60 % от земеделската площ да отговаря на поне два от критериите, посочени в приложение III, всеки в рамките на не повече от 20 % от определената прагова стойност. Извършено е и допълнително прецизиране, с цел изключване на райони, в които са отчетени съществени природни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 райони със специфични ограничения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други райони със специфични ограничения в европейското законодателство е определен праг ограниченията да обхващат повече от 60 % от земеделската земя на ниво местна административна единица-землище.При определянетона други райони със специфични ограничения, съгласно изискванията на регламента, са изследвани всички райони, които не сапланински райони или  райони,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използваните стойности до 20% от посочените прагове в приложение III на регламента, са ползвани предложените стойности в насоките от Съвместния изследователски център към Европейската комисия (JRC) (Доклад EUR 26940 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другите райони със специфични ограничения,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земите в България се определя чрез тяхната бонитетна оценка. Оценката на производителността на земите се прилага в кадастъра на земеделските земи като мярка за естественото плодородие на всеки кадастрален парцел, която подлежи на своевременен преглед при промени в ползването. Тя се използва за планиране на дейностите за по-добро териториално и селскостопанско управление, рационален избор на култури по райони, инвестиции в насаждения от трайни насаждения, оценка на потенциалния добив от културите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Средно-претеглената категория на земеделските земи от различните райони, възлиза на 8.259за земите в планинските райони и 4.411 за районите, различни от планинските.Средно-претеглената категория на земеделските земи за цялата територия на страната е 4.952.  Тази стойност съответства на бонитетен бал 60.5, 80 % от стойността на който е 48.4. Този бонитетен бал съответства на 6-та категория на земите. Според таблицата за съответствие на категориите на земите по националната класификация и FAO, земите с бонитетен бал от 40 до 50 (земи 6-та категория по националната класификация) спадат към земите със значителни ограничения (клас S3 по класификацията на ФАО).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резултати дават основание да бъде приета стойност на средно-претеглената категория на земеделските земи в дадено землище ≥ 6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заключение, подходът за допълнителното прецизиране на другите райони със специфични ограничения, обхваща землища, в които категорията на земята е ≥ 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изчисляването на компенсаторното плащане по определените необлагодетелствани райони, отговарящи на условието за 60% от земеделската площ да отговаря на поне два от критериите, всеки в рамките на не повече от 20% от определената прагова стойност на критериите, се използват различията по критериите в областта на почвите и на размера на земеделската земя, идентифициранакато засегната по дефинираните критерии и прагови ограничения. В зависимост от това, до колко и в каква степен определените землища за необлагодетелствани райони (НР3) се различават от включените по биофизични показатели землища в необлагодетелстваните райони (НР2), за които има изчислено и прилагано компенсаторно плащане, в същата пропорция и в съответната посока е изчислена и компенсаторната ставка за НР3. За да се установят различията в областта на критериите за състоянието на почвите се използват бонитетните оценки по землища по НР2 и НР3, което е използвано за разкриване остротата и интензитета на влияние на почвените условия и неблагоприятни ограничения върху продуктивността на земеделските земи. Наред с това, размерът и мащабът на идентифицираните земи, за които са открити равнища, попадащи под определените критични прагове по критериите за дефиниране на необлагодетелстваните райони, са отчетени в методиката за изчисление, за да се направи териториално претегляне. По този начин бонитетните оценки и размерът и делът на земеделските земи, идентифицирани с биофизични ограничения, са използвани като променливи за изчисляване на компенсаторното плащане в НР3, използвайки различията по тези променливи към обхванатите землища в НР2.</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засегнати от специфични ограничения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минимум 700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среден наклон на терена минимум 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между минимум 500 м в комбинация със среден наклон на терена минимум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другите райони със специфични ограничения е извършено на база изискванията най-малко 60 % от земеделската площ да отговаря на поне два от критериите, посочени в приложение III от Регламент 1305/2013, всеки в рамките на не повече от 20 % от определената прагова стойност и допълнително прецизиране, с цел изключване на райони, в които са отчетени специфични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 Стойността на средно-претеглената категория на земеделските земи в дадено землище ≥ 6 е приета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специфичните ограничения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е представен в Приложение 11 към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Други важни забележки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Определяне на районите,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съгласно чл. 32 от Регламент 1305/2013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районите с природни ограничения, различни от планинските в европейското законодателство е определен праг ограниченията да обхващат най-малко 60 % от земеделската земя на ниво местна административна единица-землище.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районите с ограничения, различни от планинските,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допълнителното прецизиране на райони с природни ограничения, различни от планинските, обхваща землища, в които категорията на земята е ≥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извършваната процедура по определяне и прецизиране на районите с природни ограничения, различни от планинските, България  предвиди в националното си законодателство разпоредба, която уреди преходна помощ за кандидатите по подмярка 13.2. Компенсационното плащане на хектар през кампания 2019 г.,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приключилото предефиниране на районите с природни ограничения, различни от планинските и в съответствие с приложимото европейско законодателство, съгласно което държавата членка може да продължи плащанията до изтичането на преходния период за бенефициерите, от райони, които вече не отговарят на условията за подпомагане след новото райониране, преходната помощ за кампания 2020 е в размер на 25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7, параграф 4 от РЕГЛАМЕНТ (ЕС) 2020/2220 на Европейския парламент и на Съвета, с който е изменен чл. 31, параграф 5 от Регламент 1305/2013, за бенефициерите от райони, които вече не отговарят на условията за подпомагане след новото райониране, преходната помощ за кампания 2021 и 2022 е в размер на 25 евро</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телета в евро/ЖЕ - 27,46 евро; След 2020 г. евро/ЖЕ - 39,72 евро;</w:t>
            </w:r>
          </w:p>
          <w:p>
            <w:pPr>
              <w:numPr>
                <w:ilvl w:val="0"/>
                <w:numId w:val="4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крави и биволици над 24 месечна възраст в евро/ЖЕ - 42.71 евро. След 2020 г. евро/ЖЕ - 66,21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 След 2020 г. евро/ЖЕ - 24,70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 След 2020 г. евро/ЖЕ – 28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 След 2020 г. евро/ЖЕ – 47,86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6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Извършено е преизчисление на премиите с референтен период 2017-2019 г., при което констатираните промени в пазарната и производствена среда в този период са съотнесени към периода 2011-2013 г.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69"/>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диагностичен научноизследователски ветеринарномедицински институт, Център за оценка на риска по хранителната верига,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Производители на ветеринарно медицински продукти;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2 000 000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78"/>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8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територията на цялата страна (включително селските райони и териториите със специфични характеристики, определени в Националната концепция за пространствено развитие за периода 2013 – 2025 г.) с изключение на градовете с население над 30 000 жители, в техните строителни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ЛИДЕР).За населените места, на чиито територии се прилага подхода ВОМР/ЛИДЕР и които са подпомагани от „Програма за развитие на регионите“ 2021 – 2027 г., се прилага демаркация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4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88"/>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и през периода 2021 – 2027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и 2014 – 2020 г. (не са изпълнявали подмерки 431-2, 431-1, 41, 19.1, 19.2 и 19.4)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подмерки 431-2, 431-1, 41, 19.1, 19.2 и 19.4) и до 9 месеца за местни общности, не прилагали подхода ЛИДЕР през програмни периоди 2007 – 2013 г. и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12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2021 – 2022 г. по подмярката се публикува най-малко една покана за изразяване на интерес за подкрепа за подготвителни дейности за изготвяне на стратегии за ВОМР за периода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периоди 2007-2013 г. и 2014 – 2020 г. (не са изпълнявали подмерки 431-2, 431-1, 41, 19.1, 19.2 и 19.4 на  територията 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 периоди 2007-2013 г. и 2014 – 2020 г. на територия или част от територия, за която се кандидатства, (изпълнявали са подмерки 431-2, 431-1, 41, 19.1, 19.2 и 19.4).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г. и ПРСР 2014 – 2020 г.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 периоди 2007-2013 г. и 2014 – 2020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49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 периоди 2007-2013 г. и 2014 – 2020 г.;</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през периодите 2007-2013 г. и 2014 – 2020 г.</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100 000 евро за малък пилотен проект.</w:t>
            </w:r>
          </w:p>
          <w:p>
            <w:pPr>
              <w:numPr>
                <w:ilvl w:val="0"/>
                <w:numId w:val="4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96"/>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4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1 500 000 евро (общо за стратегията вкл. с текущите разходи и разходи за популяризиране 2 000 000 евро), а за групи с по-голямо население – до левовата равностойност на 2 100 000 евро (общо за стратегията вкл. с текущите разходи и разходи за популяризиране 2 800 000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0"/>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5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5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5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50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5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5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5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6"/>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20"/>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21"/>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33" w:name="_Toc25600013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3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39б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Разпространението на COVID-19 и предприеманите мерки за неговото ограничаване и справяне със здравната и задълбочаващата се икономическа криза в световен мащаб доведе до нарастване на предизвикателствата пред земеделското производство и агрохранителната индустрия. От една страна, това създаде реална опасност да се наруши производството и преработката на селскостопански продукти,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затварянето на ресторантьорския, хотелиерския и туристическия бизнес (канал ХОРЕКА) до голяма степен намали консумацията на основни хранителни продукти – мляко, сирене, месо, плодове, зеленчуци и др., което стана допълнителна  предпоставка за свиване на потреблението на земеделска продукция. На практика нормалното функциониране на цялата верига на доставка на храни беше нарушено, в резултат на което се стигна до затваряне на предприятия и освобождаване на работници.В тази връзка, на европейско ниво се въведе извънредна мярка за подкрепа на земеделските стопани и малки и средни предприятия, особено засегнати от пандемията, със средства от ЕЗФРСР (2% от участието на Фонда в ПРСР). Средствата са целеви и са предназначени за преодоляване на преките и косвените последици за селското стопанство и хранително-вкусовата промишленост от разпространението на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занимаващи се със селскостопанска продукция и МСП, които преработват селскостопански продукти, включени Приложение I към ДФЕС или памук. Крайният продукт получен в резултат на преработка на селскостопански продукти може да бъде извън обхвата на Приложение I към ДФЕС.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три подмерки в зависимост от вида на допустимите кандидати – земеделски стопани и МСП.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  Изключителна и временна подкрепа за земеделските стопани COVID 1 (член 39b)</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4"/>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осъществяват дейност в силно засегнати от пандемията селскостопански сектори. Подкрепата по тази мярка има за цел да се осигури непрекъснатост на стопанска дейност на земеделски стопани и се предоставя под формата на еднократно плащане.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платима сума на земеделски стопани, извършващи земеделска дейност в секторите “Растениевъдство”, “Животновъдство” и “Пчеларство”.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предоставяне на държавна помощ De minimis за подкрепа на пчеларите през 2019 г.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подпомагане по мерките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за прием през 2021 г. са земеделски стопани, които са кандидатствали за подпомагане по схемите за директни плащания през Кампания 2020 и:</w:t>
            </w:r>
          </w:p>
          <w:p>
            <w:pPr>
              <w:numPr>
                <w:ilvl w:val="0"/>
                <w:numId w:val="5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получили подпомагане в рамките на предходния прием по мярката през 2020 г., или</w:t>
            </w:r>
          </w:p>
          <w:p>
            <w:pPr>
              <w:numPr>
                <w:ilvl w:val="0"/>
                <w:numId w:val="5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подавали заявление за подпомагане в рамките на предходния прием по мярката през 2020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декоративни растения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един от изброените производствени сектори.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на кандидати, развиващи земеделска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“Животновъдство” (ЕПЖ и ДПЖ) и “Пчеларство”, като размерът на финансовата компенсация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площите със съответната земеделска култура от списъка в т. 8.2.16.7. за кампания 2019, но не повече от размера на заявената площ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размера на площите със съответната земеделска култура, одобрени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броя на животните от съответния вид за кампания 2019, но не повече от броя на животните от същия вид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броя на животните от съответния вид, одобрени последно по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пчелните семейства, одобрени за държавна помощ De minimis през 2019 г. или за наличния брой пчелни семейства през 2020 г., ако същият е по-малък илиброя на пчелните семейства, подпомогнати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кандидати през 2021 г.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установените допустими за подпомагане площи със съответната земеделска култура от списъка в т. 8.2.16.7. за кампания 2020 и/или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установените допустими за подпомагане животни от съответния вид за кампания 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съгласно Регламент (ЕС) № 1305/2013 трябва да бъде изплатена до 31 декември 2021 г. въз основа на заявленията за подпомагане, които следва да бъдат одобрени до 30 юни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не може да надвишава левовата равностойност на 7 000 евро за един кандидат. Един кандидат може да получи финансовата помощ еднократно.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750 лв. (383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1 700 лв. (869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до 30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0,5 ха – 2 700 лв. (1 381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0,5 ха до 1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2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на открито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950 лв. (486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3 000 лв.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6 000 лв.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15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в размер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2 500 лв.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30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до 50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декоративни растения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2 000 лв.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199 бр. – 1 800 лв.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299 бр. – 2 200  лв. (1 125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3 000  лв. (1 534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бр. до 999 бр.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999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говеда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3 500 лв. (1 790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249 бр.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249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4 500 лв.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200 бр. – 9 500 лв. (4 857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200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 бр. – 250 лв. (128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500 лв. (256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149 бр. – 700 лв. (358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 бр. до 299 бр. – 1 300 лв. (665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1 700 лв. (869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499 бр. – 3 000 лв. (1 534 EUR)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 или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 xml:space="preserve">Подмярка 21.2 -  Изключителна и временна подкрепа за земеделските стопани COVID 2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6"/>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от избухването на COVID-19, възниква необходимост от справяне с проблемите с ликвидността, които излагат на риск непрекъснатостта на селскостопанските дейности на земеделските стопани, включително и поради необходимостта от въвеждането на противоепидемични мерки в рамките на земеделските стопанства. Тези мерки имат за цел да запазят здравето на заетите в селското стопанство, но наред с това генерират и допълнителни разходи за стопанствата.  Подкрепата е насочена към предоставяне на финансова помощ на земеделски стопани отглеждащи свине, птици и други селскостопански култури. Финансирането по подмярката е в съответствие с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плащане на земеделски стопани, извършващи земеделска дейност в секторите “Птицевъдство”, “Свиневъдство” и “Други селскостопански култури”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 мярката ще бъде осигурено пълно разграничаване на подкрепата по под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по подмярката отглеждащи други селскостопански култури са земеделски стопани ,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Кандидатствали </w:t>
            </w:r>
            <w:r>
              <w:rPr>
                <w:rFonts w:ascii="Times New Roman" w:eastAsia="Times New Roman" w:hAnsi="Times New Roman" w:cs="Times New Roman"/>
                <w:szCs w:val="24"/>
                <w:u w:val="single"/>
              </w:rPr>
              <w:t>и са одобрени</w:t>
            </w:r>
            <w:r>
              <w:rPr>
                <w:rFonts w:ascii="Times New Roman" w:eastAsia="Times New Roman" w:hAnsi="Times New Roman" w:cs="Times New Roman"/>
                <w:szCs w:val="24"/>
              </w:rPr>
              <w:t xml:space="preserve"> за подпомагане по мерките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земеделски стопани, които отглеждат свине и птици трябва да са кандидатствали и одобрени за предоставяне на държавна помощ през 2019 г. по схема „Помощ за реализиране на доброволно поети ангажименти за хуманно отношение към птиците” или „Помощ за реализиране на доброволно поети ангажименти за хуманно отношение към свинете”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със заетите лица в земеделски стопанства отглеждащи свине, птици и други селскостопански култури.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земеделски стопани осъществяващи дейност по отглеждане на: свине, птици 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се предоставя на база средносписъчен брой на персонала в земеделското стопанство за периода март-юни 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 в земеделски стопанства отглеждащи свине и птици, в които има регистрирани огнища на заразни болести в периода до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дейности на земеделски стопани свързани с отглеждане на говеда, биволи, овце, кози, пчелни семейства, плодове, зеленчуци, рози, декоративни растения и винено грозде.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30 лв. (15 евро) за едно заето лице за земеделски стопанства отглеждащи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245 лв. (125 евро) за едно заето лице за земеделски стопанства отглеждащи свине;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430 лв. (220 евро) за едно заето лице за земеделски стопанства отглеждащи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допустим размер на финансовата помощ не може да надвишава левовата равностойност на 7 000 евро за един кандидат – земеделски стопанин.</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надвишаващи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други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неизплащане на финансовата помощ, поради недостатъчна информираност на кандидатите, което от своя страна би завишило нивото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 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21.3 -  Изключителна и временна подкрепа за МСП  и групи и организации на производители COVID 3</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7"/>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ограничения във връзка с COVID кризата по отношение на движението, въведени в държавите членки, както и задължителното затваряне на определени бизнеси, доведоха до икономически сътресения в селскостопанския сектор и до проблеми с ликвидността и паричните потоци за малките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По този начин ще се осигури достъп до финансиране на около 800 МСП. Финансирането по подмярката е в съответствие с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малки и средни предприятия и признати групи и организации на производители под формата на еднократна помощ във връзка предизвикателствата пред, които е поставена агрохранителната индустрия в резултат на разпространението на COVID-19.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еднократна помощ насочена към малки и средни предприятия и признати групи и организации на производители. Подпомагането трябва да е насочено към дейности свързани 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•Микро, малки и средни предприятия – преработващи селскостопански продукти включени в Приложение I към ДФЕС;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за подпомагане кандидати трябва да отговарят на дефиницията* посочена в чл. 2 (28) от Регламент (ЕС) № 1303/2013 на Европейския парламент и на Съвета от 17 декември 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„МСП“ са микро-, малко или средно предприятие съгласно определението в Препоръка 2003/361/ЕО на Комисията от 6 май 2003 г. относно определението за микро-, малки и средни предприятия (ОВ L 124, 20.5.2003 г., стр. 36).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 реализираните обороти и техният спад или в съответствие със заетите лица.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МСП регистрирани по Закона за данък върху добавената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се предоставя, в случай, че е установен спад на приходите от продажби на преработени селскостопански продукти от изброените сектори с най – малко 20 на сто по данни за периода март-юни на 2020 г., спрямо периода март-юни на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на база заети лица се предоставя без да се доказва спад на приходите от продажби на преработени селскостопански продукти и се предоставя на база средносписъчен брой на персонала за периода март-юни 2020. 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мляко и млечни продукти, включително яйца от птици, с изключение на производство, преработка и/или маркетинг на продукти, наподобяващи/заместващи мляко и млечни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месо и месни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плодове и зеленчуци, включително гъби;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пчелен мед и пчелни продукти с изключение на производство, преработка и/или маркетинг на продукти, наподобяващи/заместващи пчелен мед и пчелни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зърнени, мелничарски и нишестени продукти с изключение на производство, преработка и/или маркетинг на хляб и тестени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растителни и животински масла и мазнини с изключение на производство, преработка и/или маркетинг на маслиново масло;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технически и медицински култури, включително маслодайна роза, билки и памук, с изключение на производство, преработка и/или маркетинг на тютюн и тютюневи изделия, захар и сладкарски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готови храни за селскостопански животни (фуражи);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за дейности свързани с риба и рибни продукти, гроздова мъст, вино и оцет.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на кандидати допустими за подпомагане по Оперативна програма иновации и конкурентноспособност 2014-2020 – ОПИК 2014-2020.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5% от стойността на декларираните приходи/доходи от реализация на преработени селскостопански продукти за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270 лв. (138 евро) за едно заето лице;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само по едно от посочените две направления /т.1 или т.2/, като не се допуска тяхното комбиниране.</w:t>
            </w:r>
          </w:p>
          <w:p>
            <w:pPr>
              <w:numPr>
                <w:ilvl w:val="0"/>
                <w:numId w:val="5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допустим размер на финансовата помощ за едно заявление за подпомагане и един кандидат е в рамките на 500 евро.</w:t>
            </w:r>
          </w:p>
          <w:p>
            <w:pPr>
              <w:numPr>
                <w:ilvl w:val="0"/>
                <w:numId w:val="5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левовата равностойност до 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допустимия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ОПИК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подпомагане на дейности, свързани преработка на суровини и крайни продукти от нея извън Анекс I към Договора.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5102" w:right="-56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по-долу.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Covid 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COVID-19.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w:t>
            </w:r>
            <w:r>
              <w:rPr>
                <w:rFonts w:ascii="Times New Roman" w:eastAsia="Times New Roman" w:hAnsi="Times New Roman" w:cs="Times New Roman"/>
                <w:b/>
                <w:bCs/>
                <w:szCs w:val="24"/>
              </w:rPr>
              <w:t>плащания ПО ИЗВЪНРЕДНАТА ВРЕМЕННА ПОМОЩ СВЪРЗАНА с КРИЗАТА ОТ КОВИД-19 НА ОСНОВАНИЕ ПРОМЕНИ в РЕГЛАМЕНТ 1305/2013, СЪГЛАСНО Чл.39Б.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19.06.2020 г. Европейският парламент прие решение на първо четене по направено предложение на същия и на Европейската комисия за промяна на Регламент 1305/2013, предвиждащ въвеждане на специфични мерки за осигуряване на извънредна временна помощ от Европейския земеделски фонд за развитие на селските райони в отговор на избухналата пандемия от КОВИД-19, формулирано в P9_TC1-COD(2020)0075 от 19.06.2020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Договора за функциониране на ЕС, в чл.42 и чл.43(2) е направено предложение от ЕК, където е взето мнението и на Европейския икономически и социален съвет обосновавайки нуждата от извънредна временна помощ за земеделските производители пострадали от кризата с разпространението на КОВИД-19. Земеделските производители са засегнати от последствията от избухването на КОВИД-19 заради ограниченията за движение въведени в държавите-членки, както и от затварянето на част от търговските обекти и заведенията за обществено хранене, както и от необходимостта от прилагане на специални мерки в самите производствени обекти за хигиенизиране и санитаризиране като превенция срещу заразяване на работещите. Това създаде икономически смущения в селскостопанския сектор и доведе до ликвидни и икономически проблеми за земеделските производители и за малкия бизнес, както и в областта на преработката, маркетинг и самото производство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КОВИД-19.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самите указания, които са разработени се препоръчва държавите-членки да ориентират подкрепата към бенефициенти, които са най-засегнати от кризата КОВИД-19, като определят въз основа на наличните доказателства, условията за допустимост и, когато това е целесъобразно от съответната държава-членка, по критерии за подбор, които са обективни и недискриминационни. Подкрепата е под формата на еднократно плащане, което трябва да бъде изплатенодо 31 декември 2021 г. въз основа на заявленията за подпомагане, които следва да бъдат одобрени до 30 юни 2021 г. Нивото на плащане може да бъде диференцирано по категории бенефициенти в съответствие с обективни и недискриминационни критерии. Максималният размер на помощта не трябва да надвишава 7 000 EUR на земеделски производител и 50 000 EUR за МСП. При отпускане на помощта съгласно настоящия член, държавите-членки трябва да вземат предвид средствата, предоставени по други национални инструменти или инструменти за подпомагане на Съюза или частни схеми за отговор на въздействието на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външен експерт, който осигурява методическа подкрепа и верифицира изчисленията. МЗХГ предложи обхвата на производствата, за които да се разработи методически инструментариум и да се изчислят и предложат плащания за подкрепа, произтичащи от увеличените оперативни разходи за тяхната работа, свързани с кризата от КОВИД-19. 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Алгоритъмът за определяне на плащанията за извънредната временна помощ по различните производства може да бъде описан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осъществяването на изчисленията са следвани следните стъпки:</w:t>
            </w:r>
          </w:p>
          <w:p>
            <w:pPr>
              <w:numPr>
                <w:ilvl w:val="0"/>
                <w:numId w:val="51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анкетно проучване от страна на МЗХГ, за събиране данни от земеделските производители в обхванатите производства, за равнището на повишени разходи от разпространението на КОВИД-19, отнасящи се до материални и технологични дейности насочени към предпазване или резултиращи от разпространението на вируса;</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Събиране на официална статистическа информация за стопанската структура и класифициране на специализираните стопанства по размер на съответните площи и животни и средния брой на заетите в отделните класове;</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Предварителен преглед на данните от анкетите, калибриране и обработване;</w:t>
            </w:r>
          </w:p>
          <w:p>
            <w:pPr>
              <w:numPr>
                <w:ilvl w:val="0"/>
                <w:numId w:val="51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Изчисляване на средните повишени променливи разходи на един зает в анкетираните стопанства, където </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szCs w:val="24"/>
              </w:rPr>
              <w:t xml:space="preserve"> са общите повишени разходи заради КОВИД-19, 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е общият брой на заетите в анкетираното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VCE</w:t>
            </w:r>
            <w:r>
              <w:rPr>
                <w:rFonts w:ascii="Times New Roman" w:eastAsia="Times New Roman" w:hAnsi="Times New Roman" w:cs="Times New Roman"/>
                <w:i/>
                <w:iCs/>
                <w:szCs w:val="24"/>
              </w:rPr>
              <w:t>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(1)</w:t>
            </w:r>
          </w:p>
          <w:p>
            <w:pPr>
              <w:numPr>
                <w:ilvl w:val="0"/>
                <w:numId w:val="5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Претегляне тежестта на отделните стопанства попаднали в анкетното проучване при определяне на средните повишение разходи настъпили от КОВИД-19 в стратифицираните класове стопанства, където </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е абсолютната стойност на отклонението в броя на заетите на всяко анкетирано стопанство към средния брой заети в съответния клас от специализирания тип стопанства в структурната статистика разделено на сумата от индивидуалните отклонения;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=1-</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(3)</w:t>
            </w:r>
          </w:p>
          <w:p>
            <w:pPr>
              <w:numPr>
                <w:ilvl w:val="0"/>
                <w:numId w:val="52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Получаване на средните повишени променливи разходи заради КОВИД-19 в обхванатите производства на зает (</w:t>
            </w: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szCs w:val="24"/>
              </w:rPr>
              <w:t xml:space="preserve">), където числителят представлява произведение от средните повишение разходи на един зает в анкетираните стопанства, към техния тегловен коефициент </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szCs w:val="24"/>
              </w:rPr>
              <w:t xml:space="preserve">, умножен с общия брой заети в съответния клас в структурната статистика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В числителят се прави сбор от резултатите по всички класове стопанства. Знаменателят представлява общия брой на всички заети стратифицирани по класовете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w:t>
            </w:r>
            <w:r>
              <w:rPr>
                <w:rFonts w:ascii="Times New Roman" w:eastAsia="Times New Roman" w:hAnsi="Times New Roman" w:cs="Times New Roman"/>
                <w:i/>
                <w:iCs/>
                <w:szCs w:val="24"/>
              </w:rPr>
              <w:t>(</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VCE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(4)</w:t>
            </w:r>
          </w:p>
          <w:p>
            <w:pPr>
              <w:numPr>
                <w:ilvl w:val="0"/>
                <w:numId w:val="52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Изчисляване плащането на база стопанство по обхванатите производства, като стопанствата са разделени на отделни класове и помощта за стопанство получена от повишените разходи, настъпили вследствие на кризата от КОВИД-19 (AVPF ), представлява произведение между средните прогнозни разходи на зает в сектора (AVVCEFSS) и средния брой на заетите в съответния клас стопанства в даденото производство, установен в структурната статистическа база данни (AVNESFSS).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AVPF = AVVCEFSS * AVNESFSS       </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прогнозни разходи при анкетирането на земеделските производители, като обхванатите производства от отрасъл животновъдство са: говедовъдство, биволовъдство, дребен рогат добитък, пчеларство, свиневъдство и птицевъдство. В отрасъл растениевъдство са направени изчисления по предложените производства: зеленчуци на открито, оранжерийно зеленчукопроизводство, овощарство, розопроизводство, производство на винено грозде и декоративни растения и цветя. Предвидена е подкрепа и на други сектори, необхванати от изброените производство в растениевъдството, където плащането е предложено на бъде на един зает. Това се налага поради разнородността на включените и попадащи в тази категория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същия алгоритъм е определено плащането и за малки и средни предприятия, преработващи земеделска продукция на база проведено анкетно проучване за равнището на повишени разходи от разпространението на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плащания по отделните производства по разписания методически алгоритъм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Говедовъдство</w:t>
            </w:r>
          </w:p>
          <w:tbl>
            <w:tblPr>
              <w:tblStyle w:val="Table"/>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07"/>
              <w:gridCol w:w="1926"/>
              <w:gridCol w:w="4411"/>
              <w:gridCol w:w="1957"/>
              <w:gridCol w:w="1974"/>
            </w:tblGrid>
            <w:tr>
              <w:tblPrEx>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46"/>
              </w:trPr>
              <w:tc>
                <w:tcPr>
                  <w:tcW w:w="356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Говедовъдството</w:t>
                  </w:r>
                </w:p>
              </w:tc>
              <w:tc>
                <w:tcPr>
                  <w:tcW w:w="188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5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6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9 647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359 056</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33 001</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577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 – 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1 790</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249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249</w:t>
                  </w:r>
                  <w:r>
                    <w:rPr>
                      <w:rFonts w:ascii="Times New Roman" w:eastAsia="Times New Roman" w:hAnsi="Times New Roman" w:cs="Times New Roman"/>
                      <w:b/>
                      <w:bCs/>
                      <w:i w:val="0"/>
                      <w:iCs w:val="0"/>
                      <w:smallCaps w:val="0"/>
                      <w:color w:val="000000"/>
                      <w:szCs w:val="24"/>
                    </w:rPr>
                    <w:t xml:space="preserve"> броя</w:t>
                  </w:r>
                </w:p>
              </w:tc>
              <w:tc>
                <w:tcPr>
                  <w:tcW w:w="188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36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Биволовъдство</w:t>
            </w:r>
          </w:p>
          <w:tbl>
            <w:tblPr>
              <w:tblStyle w:val="Table"/>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99"/>
              <w:gridCol w:w="2108"/>
              <w:gridCol w:w="4197"/>
              <w:gridCol w:w="1957"/>
              <w:gridCol w:w="1974"/>
            </w:tblGrid>
            <w:tr>
              <w:tblPrEx>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33"/>
              </w:trPr>
              <w:tc>
                <w:tcPr>
                  <w:tcW w:w="365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биволовъдството</w:t>
                  </w:r>
                </w:p>
              </w:tc>
              <w:tc>
                <w:tcPr>
                  <w:tcW w:w="206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9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2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13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282</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13 905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1 498</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27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 </w:t>
                  </w:r>
                  <w:r>
                    <w:rPr>
                      <w:rFonts w:ascii="Times New Roman" w:eastAsia="Times New Roman" w:hAnsi="Times New Roman" w:cs="Times New Roman"/>
                      <w:b/>
                      <w:bCs/>
                      <w:i w:val="0"/>
                      <w:iCs w:val="0"/>
                      <w:smallCaps w:val="0"/>
                      <w:color w:val="000000"/>
                      <w:szCs w:val="24"/>
                    </w:rPr>
                    <w:t>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2 301</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100 – </w:t>
                  </w:r>
                  <w:r>
                    <w:rPr>
                      <w:rFonts w:ascii="Times New Roman" w:eastAsia="Times New Roman" w:hAnsi="Times New Roman" w:cs="Times New Roman"/>
                      <w:b/>
                      <w:bCs/>
                      <w:i w:val="0"/>
                      <w:iCs w:val="0"/>
                      <w:smallCaps w:val="0"/>
                      <w:color w:val="000000"/>
                      <w:szCs w:val="24"/>
                    </w:rPr>
                    <w:t>200</w:t>
                  </w:r>
                  <w:r>
                    <w:rPr>
                      <w:rFonts w:ascii="Times New Roman" w:eastAsia="Times New Roman" w:hAnsi="Times New Roman" w:cs="Times New Roman"/>
                      <w:b/>
                      <w:bCs/>
                      <w:i w:val="0"/>
                      <w:iCs w:val="0"/>
                      <w:smallCaps w:val="0"/>
                      <w:color w:val="000000"/>
                      <w:szCs w:val="24"/>
                    </w:rPr>
                    <w:t xml:space="preserve">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4 857</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200 биволи</w:t>
                  </w:r>
                </w:p>
              </w:tc>
              <w:tc>
                <w:tcPr>
                  <w:tcW w:w="206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13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Дребен рогат добитък</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97"/>
              <w:gridCol w:w="1869"/>
              <w:gridCol w:w="4713"/>
              <w:gridCol w:w="1957"/>
              <w:gridCol w:w="1974"/>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63"/>
              </w:trPr>
              <w:tc>
                <w:tcPr>
                  <w:tcW w:w="345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овцевъдството и козевъдството</w:t>
                  </w:r>
                </w:p>
              </w:tc>
              <w:tc>
                <w:tcPr>
                  <w:tcW w:w="182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1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44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9 566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1 187 676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31 888</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372</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1 8</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920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200 – 299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2 200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1 125</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500 – 999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1000 </w:t>
                  </w:r>
                  <w:r>
                    <w:rPr>
                      <w:rFonts w:ascii="Times New Roman" w:eastAsia="Times New Roman" w:hAnsi="Times New Roman" w:cs="Times New Roman"/>
                      <w:b/>
                      <w:bCs/>
                      <w:i w:val="0"/>
                      <w:iCs w:val="0"/>
                      <w:smallCaps w:val="0"/>
                      <w:color w:val="000000"/>
                      <w:szCs w:val="24"/>
                    </w:rPr>
                    <w:t>ДРД</w:t>
                  </w:r>
                </w:p>
              </w:tc>
              <w:tc>
                <w:tcPr>
                  <w:tcW w:w="18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44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 Свиневъдство</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65"/>
              <w:gridCol w:w="2379"/>
              <w:gridCol w:w="1734"/>
              <w:gridCol w:w="2556"/>
              <w:gridCol w:w="2577"/>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86"/>
              </w:trPr>
              <w:tc>
                <w:tcPr>
                  <w:tcW w:w="359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свиневъдството</w:t>
                  </w:r>
                </w:p>
              </w:tc>
              <w:tc>
                <w:tcPr>
                  <w:tcW w:w="177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1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4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293</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489 695</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2 111</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база зает</w:t>
                  </w:r>
                </w:p>
              </w:tc>
              <w:tc>
                <w:tcPr>
                  <w:tcW w:w="177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61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245</w:t>
                  </w:r>
                </w:p>
              </w:tc>
              <w:tc>
                <w:tcPr>
                  <w:tcW w:w="134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 Птицевъдство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35"/>
              <w:gridCol w:w="2367"/>
              <w:gridCol w:w="1726"/>
              <w:gridCol w:w="2602"/>
              <w:gridCol w:w="262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621"/>
              </w:trPr>
              <w:tc>
                <w:tcPr>
                  <w:tcW w:w="3506"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птицевъдството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379"/>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17 380 625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72"/>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3 515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база зает </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430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220</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 Пчеларство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3427"/>
              <w:gridCol w:w="3133"/>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6"/>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пчеларството</w:t>
                  </w:r>
                </w:p>
              </w:tc>
              <w:tc>
                <w:tcPr>
                  <w:tcW w:w="172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4 409</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пчелни семейства в  специализираните стопанства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601 101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32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говедовъдството + Средни прогнозни разходи на зает в биволовъдството + Средни прогнозни разходи на зает при ДРД)/ 3</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358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150 – 299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665</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499</w:t>
                  </w:r>
                  <w:r>
                    <w:rPr>
                      <w:rFonts w:ascii="Times New Roman" w:eastAsia="Times New Roman" w:hAnsi="Times New Roman" w:cs="Times New Roman"/>
                      <w:b/>
                      <w:bCs/>
                      <w:i w:val="0"/>
                      <w:iCs w:val="0"/>
                      <w:smallCaps w:val="0"/>
                      <w:color w:val="000000"/>
                      <w:szCs w:val="24"/>
                    </w:rPr>
                    <w:t xml:space="preserve"> пчелни семейства</w:t>
                  </w:r>
                </w:p>
              </w:tc>
              <w:tc>
                <w:tcPr>
                  <w:tcW w:w="172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3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7. Зеленчукопроизводство на открито</w:t>
            </w:r>
          </w:p>
          <w:tbl>
            <w:tblPr>
              <w:tblStyle w:val="Table"/>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5"/>
              <w:gridCol w:w="1768"/>
              <w:gridCol w:w="4781"/>
              <w:gridCol w:w="1957"/>
              <w:gridCol w:w="1974"/>
            </w:tblGrid>
            <w:tr>
              <w:tblPrEx>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7"/>
              </w:trPr>
              <w:tc>
                <w:tcPr>
                  <w:tcW w:w="349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зеленчукопроизводство на открито</w:t>
                  </w:r>
                </w:p>
              </w:tc>
              <w:tc>
                <w:tcPr>
                  <w:tcW w:w="172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7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6 256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313 491</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41 656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950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486</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3 068</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15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 ха</w:t>
                  </w:r>
                </w:p>
              </w:tc>
              <w:tc>
                <w:tcPr>
                  <w:tcW w:w="172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7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 Оранжерийно зеленчукопроизводство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1771"/>
              <w:gridCol w:w="4789"/>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210"/>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оранжерийното зеленчукопроизводство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953</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7 651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7 010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0,</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1 381</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0,5 –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 </w:t>
                  </w:r>
                  <w:r>
                    <w:rPr>
                      <w:rFonts w:ascii="Times New Roman" w:eastAsia="Times New Roman" w:hAnsi="Times New Roman" w:cs="Times New Roman"/>
                      <w:b/>
                      <w:bCs/>
                      <w:i w:val="0"/>
                      <w:iCs w:val="0"/>
                      <w:smallCaps w:val="0"/>
                      <w:color w:val="000000"/>
                      <w:szCs w:val="24"/>
                    </w:rPr>
                    <w:t>2</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 Овощарство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1"/>
              <w:gridCol w:w="1771"/>
              <w:gridCol w:w="4802"/>
              <w:gridCol w:w="1957"/>
              <w:gridCol w:w="197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66"/>
              </w:trPr>
              <w:tc>
                <w:tcPr>
                  <w:tcW w:w="350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овощарството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8 534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334 754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56 741</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750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20–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30 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10. Розопроизводството</w:t>
            </w:r>
          </w:p>
          <w:tbl>
            <w:tblPr>
              <w:tblStyle w:val="Table"/>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5"/>
              <w:gridCol w:w="4082"/>
              <w:gridCol w:w="2502"/>
              <w:gridCol w:w="1957"/>
              <w:gridCol w:w="1974"/>
            </w:tblGrid>
            <w:tr>
              <w:tblPrEx>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334"/>
              </w:trPr>
              <w:tc>
                <w:tcPr>
                  <w:tcW w:w="350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розопроизводството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1 412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50 128</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4726"/>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11. Винено лозарство</w:t>
            </w:r>
          </w:p>
          <w:tbl>
            <w:tblPr>
              <w:tblStyle w:val="Table"/>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61"/>
              <w:gridCol w:w="4087"/>
              <w:gridCol w:w="2506"/>
              <w:gridCol w:w="1957"/>
              <w:gridCol w:w="1974"/>
            </w:tblGrid>
            <w:tr>
              <w:tblPrEx>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85"/>
              </w:trPr>
              <w:tc>
                <w:tcPr>
                  <w:tcW w:w="351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винено грозде</w:t>
                  </w:r>
                </w:p>
              </w:tc>
              <w:tc>
                <w:tcPr>
                  <w:tcW w:w="173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5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267 223</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5265"/>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153</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1 278</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30 – </w:t>
                  </w:r>
                  <w:r>
                    <w:rPr>
                      <w:rFonts w:ascii="Times New Roman" w:eastAsia="Times New Roman" w:hAnsi="Times New Roman" w:cs="Times New Roman"/>
                      <w:b/>
                      <w:bCs/>
                      <w:i w:val="0"/>
                      <w:iCs w:val="0"/>
                      <w:smallCaps w:val="0"/>
                      <w:color w:val="000000"/>
                      <w:szCs w:val="24"/>
                    </w:rPr>
                    <w:t>50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50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3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12. Производство на декоративни растения и цветя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7"/>
              <w:gridCol w:w="4158"/>
              <w:gridCol w:w="2549"/>
              <w:gridCol w:w="1957"/>
              <w:gridCol w:w="197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19"/>
              </w:trPr>
              <w:tc>
                <w:tcPr>
                  <w:tcW w:w="343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декоративни растения и цветя</w:t>
                  </w:r>
                </w:p>
              </w:tc>
              <w:tc>
                <w:tcPr>
                  <w:tcW w:w="181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69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3 289</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654"/>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1 023</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10 ха</w:t>
                  </w:r>
                </w:p>
              </w:tc>
              <w:tc>
                <w:tcPr>
                  <w:tcW w:w="181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69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13. Други сектори</w:t>
            </w:r>
          </w:p>
          <w:tbl>
            <w:tblPr>
              <w:tblStyle w:val="Table"/>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9"/>
              <w:gridCol w:w="1859"/>
              <w:gridCol w:w="5319"/>
              <w:gridCol w:w="1734"/>
              <w:gridCol w:w="1739"/>
            </w:tblGrid>
            <w:tr>
              <w:tblPrEx>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79"/>
              </w:trPr>
              <w:tc>
                <w:tcPr>
                  <w:tcW w:w="343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други сектори</w:t>
                  </w:r>
                </w:p>
              </w:tc>
              <w:tc>
                <w:tcPr>
                  <w:tcW w:w="181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0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9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69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70" w:type="dxa"/>
                <w:tblCellMar>
                  <w:top w:w="15" w:type="dxa"/>
                  <w:left w:w="15" w:type="dxa"/>
                  <w:bottom w:w="15" w:type="dxa"/>
                  <w:right w:w="15" w:type="dxa"/>
                </w:tblCellMar>
                <w:tblLook w:val="05E0"/>
              </w:tblPrEx>
              <w:trPr>
                <w:trHeight w:val="2196"/>
              </w:trPr>
              <w:tc>
                <w:tcPr>
                  <w:tcW w:w="343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зает </w:t>
                  </w:r>
                </w:p>
              </w:tc>
              <w:tc>
                <w:tcPr>
                  <w:tcW w:w="181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Остатъчен бюджет дистрибутиран за извънредна временна помощ за земеделие / Броя на заетите в други сектори</w:t>
                  </w:r>
                </w:p>
              </w:tc>
              <w:tc>
                <w:tcPr>
                  <w:tcW w:w="10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69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w:t>
                  </w:r>
                </w:p>
              </w:tc>
              <w:tc>
                <w:tcPr>
                  <w:tcW w:w="169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14. Малки и средни предприятия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5012"/>
              <w:gridCol w:w="2682"/>
              <w:gridCol w:w="1773"/>
              <w:gridCol w:w="2684"/>
              <w:gridCol w:w="196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96"/>
              </w:trPr>
              <w:tc>
                <w:tcPr>
                  <w:tcW w:w="347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преработвателните МСП</w:t>
                  </w:r>
                </w:p>
              </w:tc>
              <w:tc>
                <w:tcPr>
                  <w:tcW w:w="183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9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84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Резултат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32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55" w:type="dxa"/>
                <w:tblCellMar>
                  <w:top w:w="15" w:type="dxa"/>
                  <w:left w:w="15" w:type="dxa"/>
                  <w:bottom w:w="15" w:type="dxa"/>
                  <w:right w:w="15" w:type="dxa"/>
                </w:tblCellMar>
                <w:tblLook w:val="05E0"/>
              </w:tblPrEx>
              <w:trPr>
                <w:trHeight w:val="561"/>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1 489</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289"/>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27 372</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148"/>
              </w:trPr>
              <w:tc>
                <w:tcPr>
                  <w:tcW w:w="347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3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19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84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270</w:t>
                  </w:r>
                </w:p>
              </w:tc>
              <w:tc>
                <w:tcPr>
                  <w:tcW w:w="132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138</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е осигурена демаркация и допълняемост с ОПИК и други финансиращи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Един кандидат може да кандидатства и получи подпомагане само по една от подмерките от мярка Covid-19.</w:t>
            </w:r>
          </w:p>
          <w:tbl>
            <w:tblPr>
              <w:tblStyle w:val="Table"/>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2838"/>
              <w:gridCol w:w="5793"/>
              <w:gridCol w:w="1789"/>
            </w:tblGrid>
            <w:tr>
              <w:tblPrEx>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99"/>
                <w:jc w:val="center"/>
              </w:trPr>
              <w:tc>
                <w:tcPr>
                  <w:gridSpan w:val="3"/>
                  <w:tcBorders>
                    <w:bottom w:val="inset" w:sz="6" w:space="0" w:color="808080"/>
                  </w:tcBorders>
                  <w:noWrap w:val="0"/>
                  <w:tcMar>
                    <w:top w:w="25" w:type="dxa"/>
                    <w:left w:w="25"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w:t>
                  </w:r>
                  <w:r>
                    <w:rPr>
                      <w:rFonts w:ascii="Times New Roman" w:eastAsia="Times New Roman" w:hAnsi="Times New Roman" w:cs="Times New Roman"/>
                      <w:b/>
                      <w:bCs/>
                      <w:i w:val="0"/>
                      <w:iCs w:val="0"/>
                      <w:smallCaps w:val="0"/>
                      <w:color w:val="000000"/>
                      <w:szCs w:val="24"/>
                    </w:rPr>
                    <w:t xml:space="preserve"> по </w:t>
                  </w:r>
                  <w:r>
                    <w:rPr>
                      <w:rFonts w:ascii="Times New Roman" w:eastAsia="Times New Roman" w:hAnsi="Times New Roman" w:cs="Times New Roman"/>
                      <w:b/>
                      <w:bCs/>
                      <w:i w:val="0"/>
                      <w:iCs w:val="0"/>
                      <w:smallCaps w:val="0"/>
                      <w:color w:val="000000"/>
                      <w:szCs w:val="24"/>
                    </w:rPr>
                    <w:t>Подмярка 21.1</w:t>
                  </w:r>
                  <w:r>
                    <w:rPr>
                      <w:rFonts w:ascii="Times New Roman" w:eastAsia="Times New Roman" w:hAnsi="Times New Roman" w:cs="Times New Roman"/>
                      <w:b/>
                      <w:bCs/>
                      <w:i w:val="0"/>
                      <w:iCs w:val="0"/>
                      <w:smallCaps w:val="0"/>
                      <w:color w:val="000000"/>
                      <w:szCs w:val="24"/>
                    </w:rPr>
                    <w:t xml:space="preserve"> - </w:t>
                  </w:r>
                  <w:r>
                    <w:rPr>
                      <w:rFonts w:ascii="Times New Roman" w:eastAsia="Times New Roman" w:hAnsi="Times New Roman" w:cs="Times New Roman"/>
                      <w:b w:val="0"/>
                      <w:bCs w:val="0"/>
                      <w:i w:val="0"/>
                      <w:iCs w:val="0"/>
                      <w:smallCaps w:val="0"/>
                      <w:color w:val="000000"/>
                      <w:szCs w:val="24"/>
                    </w:rPr>
                    <w:t>Изключителна и временна подкрепа за земеделските стопани COVID 1</w:t>
                  </w:r>
                </w:p>
              </w:tc>
            </w:tr>
            <w:tr>
              <w:tblPrEx>
                <w:jc w:val="center"/>
                <w:tblCellMar>
                  <w:top w:w="15" w:type="dxa"/>
                  <w:left w:w="15" w:type="dxa"/>
                  <w:bottom w:w="15" w:type="dxa"/>
                  <w:right w:w="15" w:type="dxa"/>
                </w:tblCellMar>
                <w:tblLook w:val="05E0"/>
              </w:tblPrEx>
              <w:trPr>
                <w:trHeight w:val="913"/>
                <w:jc w:val="center"/>
              </w:trPr>
              <w:tc>
                <w:tcPr>
                  <w:tcBorders>
                    <w:top w:val="inset" w:sz="6" w:space="0" w:color="808080"/>
                    <w:bottom w:val="inset" w:sz="6" w:space="0" w:color="808080"/>
                    <w:right w:val="inset" w:sz="6" w:space="0" w:color="808080"/>
                  </w:tcBorders>
                  <w:shd w:val="clear" w:color="auto" w:fill="D9D9D9"/>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tcBorders>
                    <w:top w:val="inset" w:sz="6" w:space="0" w:color="808080"/>
                    <w:left w:val="inset" w:sz="6" w:space="0" w:color="808080"/>
                    <w:bottom w:val="inset" w:sz="6" w:space="0" w:color="808080"/>
                  </w:tcBorders>
                  <w:shd w:val="clear" w:color="auto" w:fill="D9D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161000-Цветя,отглеждани за рязан цвят</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рязан цвят-ЦВЕТЯ И ДЕКОРАТИВНИ РАСТЕНИЯ</w:t>
                  </w:r>
                </w:p>
              </w:tc>
              <w:tc>
                <w:tcPr>
                  <w:vMerge w:val="restart"/>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Декоративни растения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162000-Цветя,отглеждани за луковици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луковици-ЦВЕТЯ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163000-Саксийни култури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Саксийни култури-ЦВЕТЯ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164000-Декоративни храсти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Декоративни храсти-ЦВЕТЯ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165000-Други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Други декоративни растения-ЦВЕТЯ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176000-Цветя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Цветя-ПЛОЩИ ЗА ПРОИЗВОДСТВО НА ПОСЕВЕН И ПОСАДЪЧЕН МАТЕРИАЛ</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186100-цветя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186000-Цветя 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243000-Разсадници за декоративни растения</w:t>
                  </w:r>
                </w:p>
              </w:tc>
              <w:tc>
                <w:tcPr>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Разсадници за декоративни растения-РАЗСАДНИЦИ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4" w:name="_Toc256000134"/>
      <w:r>
        <w:rPr>
          <w:b w:val="0"/>
        </w:rPr>
        <w:t>M22 - Exceptional temporary support to farmers and SMEs particularly affected by the impact of Russia's invasion of Ukraine (art 39b)</w:t>
      </w:r>
      <w:bookmarkEnd w:id="13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39в от Регламент (ЕС) № 1305/2013 на Европейския парламент и Съвета от 17 декември 2013 г. относно подпомагане на развитието на селските райони от Европейският земеделски фонд за развитие на селските райони (ЕЗФРСР) и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2022/1033 на Европейския парламент и на Съвета от 29 юни 2022 година за изменение на Регламент (ЕС) № 1305/2013 във връзка със специална мярка за предоставяне на извънредно временно подпомагане от Европейския земеделски фонд за развитие на селските райони (ЕЗФРСР) в отговор на последиците от руското нашествие в Украйна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Руското нашествие в Украйна постави селското стопанство и предприятията от хранително-вкусовата промишленост пред значими предизвикателства, свързани с безпрецедентно нарастване на цените на основни производствени ресурси - енергия, торове, фуражи, и несигурност на земеделските пазари. Кризисната ситуация допълнително влошава традиционно ниската ликвидност на земеделските стопанства и малките и средни предприятия (МСП), преработващи селскостопански продукти. Съществува вероятност някои стопански оператори да преустановят своята дейност, което може да постави под риск стабилността на веригата на доставки на храни и като цяло да застраши продоволствената сигурност на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Нарушено е нормалното функциониране на цялата верига на доставка на храни, в резултат на което може да се стигне до затваряне на предприятия и освобождаване на работници. В тази връзка, на европейско ниво се въведе извънредна мярка за подкрепа на земеделските стопани и малки и средни предприятия, особено засегнати от руското нашествие в Украйна, със средства от ЕЗФРСР (5% от участието на Фонда в ПРСР за 2021 и 2022 година). Средствата са целеви и са предназначени за преодоляване на преките и косвените последици за селското стопанство и хранително-вкусовата промишленост в резултат на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и МСП, които преработват селскостопански продукти.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две подмерки в зависимост от вида на допустимите кандидати – земеделски стопани и МСП. Подмярката, насочена към подпомагане на МСП, ще бъде разработена и включена в обхвата на М 22 на по-късен етап.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22.1 Извънредно временно подпомагане за земеделските стопани, засегнати от последиците от руското нашествие в Украйна  (член 39в)</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23"/>
              </w:numPr>
              <w:rPr>
                <w:b w:val="0"/>
              </w:rPr>
            </w:pPr>
            <w:r>
              <w:rPr>
                <w:b w:val="0"/>
              </w:rPr>
              <w:t>22.1 Exceptional temporary support to farmers and SMEs particularly affected by the impact of Russia's invasion of Ukraine</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земеделски стопани, които осъществяват стопанска дейност на територията на цялата страна, в особено засегнати от руското нашествие в Украйна сектори. Подкрепата по тази подмярка има за цел да допринесе за продоволствената сигурност, за преодоляване на пазарните дисбаланси и непрекъснатост на стопанската дейност на земеделските стопани, като се предоставя под формата на еднократно платима сума.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спешна безвъзмездна финансова помощ под формата на еднократно платима сума на земеделски стопани, извършващи дейност в секторите “Растениевъдство” и “Животновъдство”.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по подмярката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да са кандидатствали за подпомагане по схемата за плащане за селскостопански практики, които са благоприятни за климата и околната среда (зелени директни плащания) и схемите за обвързано с производството подпомагане по чл. 18, т. 9-15 от Наредба № 3 от 2015 г. за условията и реда за прилагане на схемите за директни плащания (ДВ, бр.16 от 2015 г.) (Наредба № 3 от 2015 г.)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да са кандидатствали за подпомагане по схемите за обвързано с производството подпомагане по чл. 18, т. 1-8 и чл. 35, т. 4 от Наредба № 3 от 2015 г.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да са кандидатствали за подпомагане по схемата за плащане за селскостопански практики, които са благоприятни за климата и околната среда (зелени директни плащания) и да са осъществявали дейност в направление „розопроизводство“ и/или „винени лозя“ и/или да са отглеждали „слънчоглед“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да са регистрирани по Наредба № 3 от 1999 г. за създаване и поддържане на регистър на земеделските стопани за стопанската 2021 – 2022 г. с площи с култивирани гъби;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да са регистрирани по Наредба № 3 от 1999 г. за създаване и поддържане на регистър на земеделските стопани за стопанската 2021 – 2022 г. и да са собственици на телета за угояване мъжки от 6 месеца до 24 месеца,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 агенция по безопасност на храните – ВетИс;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да са регистрирани по Наредба № 3 от 1999 г. за създаване и поддържане на регистър на земеделските стопани за стопанската 2021 – 2022 г. и да са собственици на телета за угояване от 6 месеца до 24 месеца, от месодайни породи,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 агенция по безопасност на храните – ВетИс.</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направления: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слънчоглед;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култивирани гъби;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телета за угояване - мъжки от 6 месеца до 24 месеца;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телета за угояване от месодайни породи от 6 месеца до 24 месеца;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едно от изброените направления.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на земеделски стопани, развиващи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и култивирани гъби) и “Животновъдство” (ЕПЖ и ДПЖ). Финансовата компенсация представлява еднократно платима сума и се определя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по-малкият размер измежду размера на установената за допустима за подпомагане площ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за кампания 2021, но не повече от по-малкия размер измежду размера на заявените площи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през кампания 2022 г. Площите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трябва да са заети със съответната земеделска култура от списъка в секция „Друга важна информация, необходима за по-доброто разбиране и прилагане на мярката“;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броят на установените допустими за подпомагане животни от съответния вид за кампания 2021 по схемите по чл. 18, т. 1-8 и чл. 35, т. 4 от Наредба № 3 от 2015, но не повече от броя на заявените по схемите по чл. 18, т. 1-8 и чл. 35, т. 4 от Наредба № 3 от 2015 г. животни от същия вид за кампания 2022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размерът на установената за допустима за подпомагане по схемата за плащане за селскостопански практики, които са благоприятни за климата и околната среда (зелени директни плащания), площ с маслодайна роза или с винени лозя или със слънчоглед през кампания 2021, но не повече от размера на заявените площи с маслодайна роза или с винени лозя или със слънчоглед през кампания 2022 по схемата за плащане за селскостопански практики, които са благоприятни за климата и околната среда (зелени директни плащания);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установените при проверка на място площи в квадратни метри, заети с култивирани гъби;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броят на наличните в стопанството към 30.06.2022 г. телета за угояване - мъжки от 6 месеца до 24 месеца, регистрирани в Интегрираната информационна система на Българска агенция по безопасност на храните – ВетИс, отглеждани в животновъден обект по чл. 137 от Закона за ветеринарномедицинската дейност и които не са заявени по схемите за обвързано с производството подпомагане за животни;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броят на наличните в стопанството към 30.06.2022 г. телета за угояване от 6 месеца до 24 месеца, от месодайни породи, регистрирани в Интегрираната информационна система на Българска агенция по безопасност на храните – ВетИс, отглеждани в животновъден обект по чл. 137 от Закона за ветеринарномедицинската дейност и които не са заявени по схемите за обвързано с производството подпомагане за животни.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15 октомври 2023 г. въз основа на заявленията за подпомагане, които следва да бъдат одобрени до 31 март 2023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Ако плащанията по подмярката превишат предвидения бюджет, подпомагането се намалява пропорционално чрез прилагане на коефициент за намаление.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по подмярката не може да надвишава левовата равностойност на 15 000 евро за един кандидат, в това число подпомагането, предоставяно - към деня на започване на приема на заявления по подмярката - по други инструменти за подпомагане на национално равнище или на равнището на Съюза. На територията на България Министерство на земеделието е приложило нотифицирана схема за държавна помощ „Помощ в подкрепа на ликвидността на земеделски стопани за преодоляване на негативното икономическо въздействие на руската агресия срещу Украйна“ и извънредна финансова помощ съгласно Делегиран регламент (ЕС) 2022/467 на Комисията от 23 март 2022 г. за предоставяне на извънредна помощ за приспособяване на производителите в селскостопанския сектор (ОВ, L 96, 24.3.2022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450 лева (230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4 000 лева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11 000 лева (5 624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25 000  лева (12 782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полски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400  лева (205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2 300  лева (1 176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8 000  лева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12 500 лева (6 391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оранжерийно производство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оранжерийно производство, отглеждани в отопляеми оранжерии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оранжерийно производство, отглеждани в неотопляеми оранжерии – 1 500 лева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200 лева (102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900 лева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1 800 лева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3 200  лева (1 636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4 800 лева (2 454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11 000 лева (5 624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300 лева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1 300 лева (665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2 500 лева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49,99 ха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20 000 лева (10 226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слънчоглед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0,5 ха до 4,99 ха – 150 лева (77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9,99 ха – 350 лева (179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29, 99 ха – 850 лева (435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99, 99 ха – 2 800 лева (1 432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до 149, 99 ха – 6 000 лева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гъби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499, 9 кв.м.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кв.м. до 999, 99 кв.м. – 6 600 лева (3 375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1 000 кв.м. до 1499, 99 кв.м. – 11 600 лева (5 931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1500 кв.м. до 1999, 99 кв.м. – 16 400 лева (8 385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2000 кв. м.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650 лева (332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2 150 лева (1 099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5 150 лева (2 633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17 000 лева (8 692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24 000 лева (12 271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Финансовата помощ за млечни крави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лева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лева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15 000 лева (7 669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Финансовата помощ за месодайни крави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400 лева (205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1 000 лева (511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3 700 лева (1 892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12 500 лева (6 391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телета за угояване – мъжки от 6 месеца до 24 месеца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1 000 лева (511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3 000 лева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10 500 лева (5 369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до 149 бр. – 20 000 лева (10 226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150 бр. и повече броя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телета за угояване от 6 месеца до 24 месеца от месодайни породи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6 300 лева (3 221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20 500 лева (10 481 EUR)</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 100 бр. и повече броя – 29 000 лева (14 827 EUR)</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културите и животните,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бенефициериете,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2021,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извънредното временно подпомагане за земеделските стопани е извършено съвместно между дирекция „Развитие на селските райони“, Министерство на земеделието, като Управляващ орган по ПРСР 2014 – 2020 г.,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културите и животните,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бенефициериете,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2021,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представена в отделно приложение.</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jc w:val="center"/>
              <w:tblBorders>
                <w:top w:val="outset" w:sz="8" w:space="0" w:color="808080"/>
                <w:left w:val="outset" w:sz="8" w:space="0" w:color="808080"/>
                <w:bottom w:val="outset" w:sz="8" w:space="0" w:color="808080"/>
                <w:right w:val="outset" w:sz="8" w:space="0" w:color="808080"/>
              </w:tblBorders>
              <w:tblCellMar>
                <w:top w:w="15" w:type="dxa"/>
                <w:left w:w="15" w:type="dxa"/>
                <w:bottom w:w="15" w:type="dxa"/>
                <w:right w:w="15" w:type="dxa"/>
              </w:tblCellMar>
              <w:tblLook w:val="05E0"/>
            </w:tblPr>
            <w:tblGrid>
              <w:gridCol w:w="2855"/>
              <w:gridCol w:w="5783"/>
              <w:gridCol w:w="1782"/>
            </w:tblGrid>
            <w:tr>
              <w:tblPrEx>
                <w:jc w:val="center"/>
                <w:tblBorders>
                  <w:top w:val="outset" w:sz="8" w:space="0" w:color="808080"/>
                  <w:left w:val="outset" w:sz="8" w:space="0" w:color="808080"/>
                  <w:bottom w:val="outset" w:sz="8" w:space="0" w:color="808080"/>
                  <w:right w:val="outset" w:sz="8" w:space="0" w:color="808080"/>
                </w:tblBorders>
                <w:tblCellMar>
                  <w:top w:w="15" w:type="dxa"/>
                  <w:left w:w="15" w:type="dxa"/>
                  <w:bottom w:w="15" w:type="dxa"/>
                  <w:right w:w="15" w:type="dxa"/>
                </w:tblCellMar>
                <w:tblLook w:val="05E0"/>
              </w:tblPrEx>
              <w:trPr>
                <w:trHeight w:val="299"/>
                <w:jc w:val="center"/>
              </w:trPr>
              <w:tc>
                <w:tcPr>
                  <w:gridSpan w:val="3"/>
                  <w:noWrap w:val="0"/>
                  <w:tcMar>
                    <w:top w:w="25" w:type="dxa"/>
                    <w:left w:w="25" w:type="dxa"/>
                    <w:bottom w:w="20"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 по Подмярка 2</w:t>
                  </w:r>
                  <w:r>
                    <w:rPr>
                      <w:rFonts w:ascii="Times New Roman" w:eastAsia="Times New Roman" w:hAnsi="Times New Roman" w:cs="Times New Roman"/>
                      <w:b/>
                      <w:bCs/>
                      <w:i w:val="0"/>
                      <w:iCs w:val="0"/>
                      <w:smallCaps w:val="0"/>
                      <w:color w:val="000000"/>
                      <w:szCs w:val="24"/>
                    </w:rPr>
                    <w:t>2.1.</w:t>
                  </w:r>
                  <w:r>
                    <w:rPr>
                      <w:rFonts w:ascii="Times New Roman" w:eastAsia="Times New Roman" w:hAnsi="Times New Roman" w:cs="Times New Roman"/>
                      <w:b/>
                      <w:bCs/>
                      <w:i w:val="0"/>
                      <w:iCs w:val="0"/>
                      <w:smallCaps w:val="0"/>
                      <w:color w:val="000000"/>
                      <w:szCs w:val="24"/>
                    </w:rPr>
                    <w:t xml:space="preserve"> </w:t>
                  </w:r>
                </w:p>
              </w:tc>
            </w:tr>
            <w:tr>
              <w:tblPrEx>
                <w:jc w:val="center"/>
                <w:tblCellMar>
                  <w:top w:w="15" w:type="dxa"/>
                  <w:left w:w="15" w:type="dxa"/>
                  <w:bottom w:w="15" w:type="dxa"/>
                  <w:right w:w="15" w:type="dxa"/>
                </w:tblCellMar>
                <w:tblLook w:val="05E0"/>
              </w:tblPrEx>
              <w:trPr>
                <w:trHeight w:val="913"/>
                <w:jc w:val="center"/>
              </w:trPr>
              <w:tc>
                <w:tcPr>
                  <w:shd w:val="clear" w:color="auto" w:fill="D9D9D9"/>
                  <w:noWrap w:val="0"/>
                  <w:tcMar>
                    <w:top w:w="20" w:type="dxa"/>
                    <w:left w:w="25"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shd w:val="clear" w:color="auto" w:fill="D9D9D9"/>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5"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122010-слънчоглед</w:t>
                  </w:r>
                </w:p>
              </w:tc>
              <w:tc>
                <w:tcPr>
                  <w:noWrap w:val="0"/>
                  <w:tcMar>
                    <w:top w:w="20" w:type="dxa"/>
                    <w:left w:w="20" w:type="dxa"/>
                    <w:bottom w:w="25"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Маслодайни култури-ТЕХНИЧЕСКИ КУЛТУРИ</w:t>
                  </w:r>
                </w:p>
              </w:tc>
              <w:tc>
                <w:tcPr>
                  <w:noWrap w:val="0"/>
                  <w:tcMar>
                    <w:top w:w="20" w:type="dxa"/>
                    <w:left w:w="20"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Слънчоглед</w:t>
                  </w:r>
                </w:p>
              </w:tc>
            </w:tr>
          </w:tbl>
          <w:p>
            <w:pPr>
              <w:pStyle w:val="BodyText"/>
              <w:jc w:val="both"/>
              <w:rPr>
                <w:b w:val="0"/>
              </w:rPr>
            </w:pPr>
          </w:p>
        </w:tc>
      </w:tr>
    </w:tbl>
    <w:p>
      <w:pPr>
        <w:rPr>
          <w:b w:val="0"/>
        </w:rPr>
        <w:sectPr>
          <w:pgMar w:top="900" w:right="900" w:bottom="900" w:left="900" w:header="720" w:footer="720"/>
          <w:cols w:space="720"/>
        </w:sectPr>
      </w:pPr>
    </w:p>
    <w:p>
      <w:pPr>
        <w:pStyle w:val="Heading1"/>
      </w:pPr>
      <w:bookmarkStart w:id="135" w:name="_Toc256000135"/>
      <w:r>
        <w:t>План за оценка</w:t>
      </w:r>
      <w:bookmarkEnd w:id="135"/>
    </w:p>
    <w:p>
      <w:pPr>
        <w:pStyle w:val="Heading2"/>
      </w:pPr>
      <w:bookmarkStart w:id="136" w:name="_Toc256000136"/>
      <w:r>
        <w:t>Цели и задачи</w:t>
      </w:r>
      <w:bookmarkEnd w:id="136"/>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7" w:name="_Toc256000137"/>
      <w:r>
        <w:t>Управление и координация</w:t>
      </w:r>
      <w:bookmarkEnd w:id="137"/>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8" w:name="_Toc256000138"/>
      <w:r>
        <w:t>Предмет на оценката и дейности</w:t>
      </w:r>
      <w:bookmarkEnd w:id="138"/>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9" w:name="_Toc256000139"/>
      <w:r>
        <w:t>Данни и информация</w:t>
      </w:r>
      <w:bookmarkEnd w:id="139"/>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40" w:name="_Toc256000140"/>
      <w:r>
        <w:t>График</w:t>
      </w:r>
      <w:bookmarkEnd w:id="140"/>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1" w:name="_Toc256000141"/>
      <w:r>
        <w:t>Комуникация</w:t>
      </w:r>
      <w:bookmarkEnd w:id="141"/>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2" w:name="_Toc256000142"/>
      <w:r>
        <w:t>Ресурси</w:t>
      </w:r>
      <w:bookmarkEnd w:id="142"/>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3" w:name="_Toc256000143"/>
      <w:r>
        <w:t>Финансов план</w:t>
      </w:r>
      <w:bookmarkEnd w:id="143"/>
    </w:p>
    <w:p>
      <w:pPr>
        <w:pStyle w:val="Heading2"/>
      </w:pPr>
      <w:r>
        <w:t xml:space="preserve"> </w:t>
      </w:r>
      <w:bookmarkStart w:id="144" w:name="_Toc256000144"/>
      <w:r>
        <w:t>Годишно участие на ЕЗФРСР в (в евро)</w:t>
      </w:r>
      <w:bookmarkEnd w:id="1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200"/>
        <w:gridCol w:w="200"/>
        <w:gridCol w:w="200"/>
        <w:gridCol w:w="200"/>
        <w:gridCol w:w="200"/>
        <w:gridCol w:w="200"/>
        <w:gridCol w:w="200"/>
        <w:gridCol w:w="200"/>
        <w:gridCol w:w="200"/>
        <w:gridCol w:w="200"/>
        <w:gridCol w:w="2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200" w:type="dxa"/>
            <w:shd w:val="clear" w:color="auto" w:fill="C0C0C0"/>
            <w:noWrap w:val="0"/>
            <w:tcMar>
              <w:top w:w="60" w:type="dxa"/>
            </w:tcMar>
            <w:vAlign w:val="top"/>
          </w:tcPr>
          <w:p>
            <w:pPr>
              <w:jc w:val="center"/>
              <w:rPr>
                <w:b/>
                <w:i w:val="0"/>
              </w:rPr>
            </w:pPr>
            <w:r>
              <w:rPr>
                <w:b/>
                <w:i w:val="0"/>
              </w:rPr>
              <w:t>Видове региони и допълнително разпределени средства</w:t>
            </w:r>
          </w:p>
        </w:tc>
        <w:tc>
          <w:tcPr>
            <w:tcW w:w="200" w:type="dxa"/>
            <w:shd w:val="clear" w:color="auto" w:fill="C0C0C0"/>
            <w:noWrap w:val="0"/>
            <w:tcMar>
              <w:top w:w="60" w:type="dxa"/>
            </w:tcMar>
            <w:vAlign w:val="top"/>
          </w:tcPr>
          <w:p>
            <w:pPr>
              <w:jc w:val="center"/>
              <w:rPr>
                <w:b/>
                <w:i w:val="0"/>
              </w:rPr>
            </w:pPr>
            <w:r>
              <w:rPr>
                <w:b/>
                <w:i w:val="0"/>
              </w:rPr>
              <w:t>2014</w:t>
            </w:r>
          </w:p>
        </w:tc>
        <w:tc>
          <w:tcPr>
            <w:tcW w:w="200" w:type="dxa"/>
            <w:shd w:val="clear" w:color="auto" w:fill="C0C0C0"/>
            <w:noWrap w:val="0"/>
            <w:tcMar>
              <w:top w:w="60" w:type="dxa"/>
            </w:tcMar>
            <w:vAlign w:val="top"/>
          </w:tcPr>
          <w:p>
            <w:pPr>
              <w:jc w:val="center"/>
              <w:rPr>
                <w:b/>
                <w:i w:val="0"/>
              </w:rPr>
            </w:pPr>
            <w:r>
              <w:rPr>
                <w:b/>
                <w:i w:val="0"/>
              </w:rPr>
              <w:t>2015</w:t>
            </w:r>
          </w:p>
        </w:tc>
        <w:tc>
          <w:tcPr>
            <w:tcW w:w="200" w:type="dxa"/>
            <w:shd w:val="clear" w:color="auto" w:fill="C0C0C0"/>
            <w:noWrap w:val="0"/>
            <w:tcMar>
              <w:top w:w="60" w:type="dxa"/>
            </w:tcMar>
            <w:vAlign w:val="top"/>
          </w:tcPr>
          <w:p>
            <w:pPr>
              <w:jc w:val="center"/>
              <w:rPr>
                <w:b/>
                <w:i w:val="0"/>
              </w:rPr>
            </w:pPr>
            <w:r>
              <w:rPr>
                <w:b/>
                <w:i w:val="0"/>
              </w:rPr>
              <w:t>2016</w:t>
            </w:r>
          </w:p>
        </w:tc>
        <w:tc>
          <w:tcPr>
            <w:tcW w:w="200" w:type="dxa"/>
            <w:shd w:val="clear" w:color="auto" w:fill="C0C0C0"/>
            <w:noWrap w:val="0"/>
            <w:tcMar>
              <w:top w:w="60" w:type="dxa"/>
            </w:tcMar>
            <w:vAlign w:val="top"/>
          </w:tcPr>
          <w:p>
            <w:pPr>
              <w:jc w:val="center"/>
              <w:rPr>
                <w:b/>
                <w:i w:val="0"/>
              </w:rPr>
            </w:pPr>
            <w:r>
              <w:rPr>
                <w:b/>
                <w:i w:val="0"/>
              </w:rPr>
              <w:t>2017</w:t>
            </w:r>
          </w:p>
        </w:tc>
        <w:tc>
          <w:tcPr>
            <w:tcW w:w="200" w:type="dxa"/>
            <w:shd w:val="clear" w:color="auto" w:fill="C0C0C0"/>
            <w:noWrap w:val="0"/>
            <w:tcMar>
              <w:top w:w="60" w:type="dxa"/>
            </w:tcMar>
            <w:vAlign w:val="top"/>
          </w:tcPr>
          <w:p>
            <w:pPr>
              <w:jc w:val="center"/>
              <w:rPr>
                <w:b/>
                <w:i w:val="0"/>
              </w:rPr>
            </w:pPr>
            <w:r>
              <w:rPr>
                <w:b/>
                <w:i w:val="0"/>
              </w:rPr>
              <w:t>2018</w:t>
            </w:r>
          </w:p>
        </w:tc>
        <w:tc>
          <w:tcPr>
            <w:tcW w:w="200" w:type="dxa"/>
            <w:shd w:val="clear" w:color="auto" w:fill="C0C0C0"/>
            <w:noWrap w:val="0"/>
            <w:tcMar>
              <w:top w:w="60" w:type="dxa"/>
            </w:tcMar>
            <w:vAlign w:val="top"/>
          </w:tcPr>
          <w:p>
            <w:pPr>
              <w:jc w:val="center"/>
              <w:rPr>
                <w:b/>
                <w:i w:val="0"/>
              </w:rPr>
            </w:pPr>
            <w:r>
              <w:rPr>
                <w:b/>
                <w:i w:val="0"/>
              </w:rPr>
              <w:t>2019</w:t>
            </w:r>
          </w:p>
        </w:tc>
        <w:tc>
          <w:tcPr>
            <w:tcW w:w="200" w:type="dxa"/>
            <w:shd w:val="clear" w:color="auto" w:fill="C0C0C0"/>
            <w:noWrap w:val="0"/>
            <w:tcMar>
              <w:top w:w="60" w:type="dxa"/>
            </w:tcMar>
            <w:vAlign w:val="top"/>
          </w:tcPr>
          <w:p>
            <w:pPr>
              <w:jc w:val="center"/>
              <w:rPr>
                <w:b/>
                <w:i w:val="0"/>
              </w:rPr>
            </w:pPr>
            <w:r>
              <w:rPr>
                <w:b/>
                <w:i w:val="0"/>
              </w:rPr>
              <w:t>2020</w:t>
            </w:r>
          </w:p>
        </w:tc>
        <w:tc>
          <w:tcPr>
            <w:tcW w:w="200" w:type="dxa"/>
            <w:shd w:val="clear" w:color="auto" w:fill="C0C0C0"/>
            <w:noWrap w:val="0"/>
            <w:tcMar>
              <w:top w:w="60" w:type="dxa"/>
            </w:tcMar>
            <w:vAlign w:val="top"/>
          </w:tcPr>
          <w:p>
            <w:pPr>
              <w:jc w:val="center"/>
              <w:rPr>
                <w:b/>
                <w:i w:val="0"/>
              </w:rPr>
            </w:pPr>
            <w:r>
              <w:rPr>
                <w:b/>
                <w:i w:val="0"/>
              </w:rPr>
              <w:t>2021</w:t>
            </w:r>
          </w:p>
        </w:tc>
        <w:tc>
          <w:tcPr>
            <w:tcW w:w="200" w:type="dxa"/>
            <w:shd w:val="clear" w:color="auto" w:fill="C0C0C0"/>
            <w:noWrap w:val="0"/>
            <w:tcMar>
              <w:top w:w="60" w:type="dxa"/>
            </w:tcMar>
            <w:vAlign w:val="top"/>
          </w:tcPr>
          <w:p>
            <w:pPr>
              <w:jc w:val="center"/>
              <w:rPr>
                <w:b/>
                <w:i w:val="0"/>
              </w:rPr>
            </w:pPr>
            <w:r>
              <w:rPr>
                <w:b/>
                <w:i w:val="0"/>
              </w:rPr>
              <w:t>2022</w:t>
            </w:r>
          </w:p>
        </w:tc>
        <w:tc>
          <w:tcPr>
            <w:tcW w:w="200" w:type="dxa"/>
            <w:shd w:val="clear" w:color="auto" w:fill="C0C0C0"/>
            <w:noWrap w:val="0"/>
            <w:tcMar>
              <w:top w:w="60" w:type="dxa"/>
            </w:tcMar>
            <w:vAlign w:val="top"/>
          </w:tcPr>
          <w:p>
            <w:pPr>
              <w:jc w:val="center"/>
              <w:rPr>
                <w:b w:val="0"/>
                <w:i w:val="0"/>
              </w:rPr>
            </w:pPr>
            <w:r>
              <w:rPr>
                <w:b/>
                <w:i w:val="0"/>
              </w:rPr>
              <w:t>Total</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502 807 341,00</w:t>
            </w:r>
          </w:p>
        </w:tc>
        <w:tc>
          <w:tcPr>
            <w:tcW w:w="200" w:type="dxa"/>
            <w:shd w:val="clear" w:color="auto" w:fill="FFFFFF"/>
            <w:noWrap w:val="0"/>
            <w:tcMar>
              <w:top w:w="60" w:type="dxa"/>
            </w:tcMar>
            <w:vAlign w:val="top"/>
          </w:tcPr>
          <w:p>
            <w:pPr>
              <w:jc w:val="right"/>
              <w:rPr>
                <w:b w:val="0"/>
                <w:i w:val="0"/>
                <w:sz w:val="16"/>
              </w:rPr>
            </w:pPr>
            <w:r>
              <w:rPr>
                <w:b w:val="0"/>
                <w:i w:val="0"/>
                <w:sz w:val="16"/>
              </w:rPr>
              <w:t>502 357 057,00</w:t>
            </w:r>
          </w:p>
        </w:tc>
        <w:tc>
          <w:tcPr>
            <w:tcW w:w="200" w:type="dxa"/>
            <w:shd w:val="clear" w:color="auto" w:fill="FFFFFF"/>
            <w:noWrap w:val="0"/>
            <w:tcMar>
              <w:top w:w="60" w:type="dxa"/>
            </w:tcMar>
            <w:vAlign w:val="top"/>
          </w:tcPr>
          <w:p>
            <w:pPr>
              <w:jc w:val="right"/>
              <w:rPr>
                <w:b w:val="0"/>
                <w:i w:val="0"/>
                <w:sz w:val="16"/>
              </w:rPr>
            </w:pPr>
            <w:r>
              <w:rPr>
                <w:b w:val="0"/>
                <w:i w:val="0"/>
                <w:sz w:val="16"/>
              </w:rPr>
              <w:t>334 147 994,00</w:t>
            </w:r>
          </w:p>
        </w:tc>
        <w:tc>
          <w:tcPr>
            <w:tcW w:w="200" w:type="dxa"/>
            <w:shd w:val="clear" w:color="auto" w:fill="FFFFFF"/>
            <w:noWrap w:val="0"/>
            <w:tcMar>
              <w:top w:w="60" w:type="dxa"/>
            </w:tcMar>
            <w:vAlign w:val="top"/>
          </w:tcPr>
          <w:p>
            <w:pPr>
              <w:jc w:val="right"/>
              <w:rPr>
                <w:b w:val="0"/>
                <w:i w:val="0"/>
                <w:sz w:val="16"/>
              </w:rPr>
            </w:pPr>
            <w:r>
              <w:rPr>
                <w:b w:val="0"/>
                <w:i w:val="0"/>
                <w:sz w:val="16"/>
              </w:rPr>
              <w:t>333 680 052,00</w:t>
            </w:r>
          </w:p>
        </w:tc>
        <w:tc>
          <w:tcPr>
            <w:tcW w:w="200" w:type="dxa"/>
            <w:shd w:val="clear" w:color="auto" w:fill="FFFFFF"/>
            <w:noWrap w:val="0"/>
            <w:tcMar>
              <w:top w:w="60" w:type="dxa"/>
            </w:tcMar>
            <w:vAlign w:val="top"/>
          </w:tcPr>
          <w:p>
            <w:pPr>
              <w:jc w:val="right"/>
              <w:rPr>
                <w:b w:val="0"/>
                <w:i w:val="0"/>
                <w:sz w:val="16"/>
              </w:rPr>
            </w:pPr>
            <w:r>
              <w:rPr>
                <w:b w:val="0"/>
                <w:i w:val="0"/>
                <w:sz w:val="16"/>
              </w:rPr>
              <w:t>333 187 306,00</w:t>
            </w:r>
          </w:p>
        </w:tc>
        <w:tc>
          <w:tcPr>
            <w:tcW w:w="200" w:type="dxa"/>
            <w:shd w:val="clear" w:color="auto" w:fill="FFFFFF"/>
            <w:noWrap w:val="0"/>
            <w:tcMar>
              <w:top w:w="60" w:type="dxa"/>
            </w:tcMar>
            <w:vAlign w:val="top"/>
          </w:tcPr>
          <w:p>
            <w:pPr>
              <w:jc w:val="right"/>
              <w:rPr>
                <w:b w:val="0"/>
                <w:i w:val="0"/>
                <w:sz w:val="16"/>
              </w:rPr>
            </w:pPr>
            <w:r>
              <w:rPr>
                <w:b w:val="0"/>
                <w:i w:val="0"/>
                <w:sz w:val="16"/>
              </w:rPr>
              <w:t>332 604 216,00</w:t>
            </w:r>
          </w:p>
        </w:tc>
        <w:tc>
          <w:tcPr>
            <w:tcW w:w="200" w:type="dxa"/>
            <w:shd w:val="clear" w:color="auto" w:fill="FFFFFF"/>
            <w:noWrap w:val="0"/>
            <w:tcMar>
              <w:top w:w="60" w:type="dxa"/>
            </w:tcMar>
            <w:vAlign w:val="top"/>
          </w:tcPr>
          <w:p>
            <w:pPr>
              <w:jc w:val="right"/>
              <w:rPr>
                <w:b w:val="0"/>
                <w:i w:val="0"/>
                <w:sz w:val="16"/>
              </w:rPr>
            </w:pPr>
            <w:r>
              <w:rPr>
                <w:b w:val="0"/>
                <w:i w:val="0"/>
                <w:sz w:val="16"/>
              </w:rPr>
              <w:t>276 362 304,00</w:t>
            </w:r>
          </w:p>
        </w:tc>
        <w:tc>
          <w:tcPr>
            <w:tcW w:w="200" w:type="dxa"/>
            <w:shd w:val="clear" w:color="auto" w:fill="FFFFFF"/>
            <w:noWrap w:val="0"/>
            <w:tcMar>
              <w:top w:w="60" w:type="dxa"/>
            </w:tcMar>
            <w:vAlign w:val="top"/>
          </w:tcPr>
          <w:p>
            <w:pPr>
              <w:jc w:val="right"/>
              <w:rPr>
                <w:b/>
                <w:i w:val="0"/>
                <w:sz w:val="16"/>
              </w:rPr>
            </w:pPr>
            <w:r>
              <w:rPr>
                <w:b w:val="0"/>
                <w:i w:val="0"/>
                <w:sz w:val="16"/>
              </w:rPr>
              <w:t>282 162 644,00</w:t>
            </w:r>
          </w:p>
        </w:tc>
        <w:tc>
          <w:tcPr>
            <w:tcW w:w="200" w:type="dxa"/>
            <w:shd w:val="clear" w:color="auto" w:fill="FFFFFF"/>
            <w:noWrap w:val="0"/>
            <w:tcMar>
              <w:top w:w="60" w:type="dxa"/>
            </w:tcMar>
            <w:vAlign w:val="top"/>
          </w:tcPr>
          <w:p>
            <w:pPr>
              <w:jc w:val="right"/>
              <w:rPr>
                <w:b w:val="0"/>
                <w:i w:val="0"/>
                <w:sz w:val="16"/>
              </w:rPr>
            </w:pPr>
            <w:r>
              <w:rPr>
                <w:b/>
                <w:i w:val="0"/>
                <w:sz w:val="16"/>
              </w:rPr>
              <w:t>2 897 308 914,00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2 663 000,00</w:t>
            </w:r>
          </w:p>
        </w:tc>
        <w:tc>
          <w:tcPr>
            <w:tcW w:w="200" w:type="dxa"/>
            <w:shd w:val="clear" w:color="auto" w:fill="FFFFFF"/>
            <w:noWrap w:val="0"/>
            <w:tcMar>
              <w:top w:w="60" w:type="dxa"/>
            </w:tcMar>
            <w:vAlign w:val="top"/>
          </w:tcPr>
          <w:p>
            <w:pPr>
              <w:jc w:val="right"/>
              <w:rPr>
                <w:b w:val="0"/>
                <w:i w:val="0"/>
                <w:sz w:val="16"/>
              </w:rPr>
            </w:pPr>
            <w:r>
              <w:rPr>
                <w:b w:val="0"/>
                <w:i w:val="0"/>
                <w:sz w:val="16"/>
              </w:rPr>
              <w:t>6 262 000,00</w:t>
            </w:r>
          </w:p>
        </w:tc>
        <w:tc>
          <w:tcPr>
            <w:tcW w:w="200" w:type="dxa"/>
            <w:shd w:val="clear" w:color="auto" w:fill="FFFFFF"/>
            <w:noWrap w:val="0"/>
            <w:tcMar>
              <w:top w:w="60" w:type="dxa"/>
            </w:tcMar>
            <w:vAlign w:val="top"/>
          </w:tcPr>
          <w:p>
            <w:pPr>
              <w:jc w:val="right"/>
              <w:rPr>
                <w:b w:val="0"/>
                <w:i w:val="0"/>
                <w:sz w:val="16"/>
              </w:rPr>
            </w:pPr>
            <w:r>
              <w:rPr>
                <w:b w:val="0"/>
                <w:i w:val="0"/>
                <w:sz w:val="16"/>
              </w:rPr>
              <w:t>6 286 000,00</w:t>
            </w:r>
          </w:p>
        </w:tc>
        <w:tc>
          <w:tcPr>
            <w:tcW w:w="200" w:type="dxa"/>
            <w:shd w:val="clear" w:color="auto" w:fill="FFFFFF"/>
            <w:noWrap w:val="0"/>
            <w:tcMar>
              <w:top w:w="60" w:type="dxa"/>
            </w:tcMar>
            <w:vAlign w:val="top"/>
          </w:tcPr>
          <w:p>
            <w:pPr>
              <w:jc w:val="right"/>
              <w:rPr>
                <w:b w:val="0"/>
                <w:i w:val="0"/>
                <w:sz w:val="16"/>
              </w:rPr>
            </w:pPr>
            <w:r>
              <w:rPr>
                <w:b w:val="0"/>
                <w:i w:val="0"/>
                <w:sz w:val="16"/>
              </w:rPr>
              <w:t>6 336 000,00</w:t>
            </w:r>
          </w:p>
        </w:tc>
        <w:tc>
          <w:tcPr>
            <w:tcW w:w="200" w:type="dxa"/>
            <w:shd w:val="clear" w:color="auto" w:fill="FFFFFF"/>
            <w:noWrap w:val="0"/>
            <w:tcMar>
              <w:top w:w="60" w:type="dxa"/>
            </w:tcMar>
            <w:vAlign w:val="top"/>
          </w:tcPr>
          <w:p>
            <w:pPr>
              <w:jc w:val="right"/>
              <w:rPr>
                <w:b w:val="0"/>
                <w:i w:val="0"/>
                <w:sz w:val="16"/>
              </w:rPr>
            </w:pPr>
            <w:r>
              <w:rPr>
                <w:b w:val="0"/>
                <w:i w:val="0"/>
                <w:sz w:val="16"/>
              </w:rPr>
              <w:t>6 386 000,00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i w:val="0"/>
                <w:sz w:val="16"/>
              </w:rPr>
            </w:pPr>
            <w:r>
              <w:rPr>
                <w:b w:val="0"/>
                <w:i w:val="0"/>
                <w:sz w:val="16"/>
              </w:rPr>
              <w:t>1 866 000,00</w:t>
            </w:r>
          </w:p>
        </w:tc>
        <w:tc>
          <w:tcPr>
            <w:tcW w:w="200" w:type="dxa"/>
            <w:shd w:val="clear" w:color="auto" w:fill="FFFFFF"/>
            <w:noWrap w:val="0"/>
            <w:tcMar>
              <w:top w:w="60" w:type="dxa"/>
            </w:tcMar>
            <w:vAlign w:val="top"/>
          </w:tcPr>
          <w:p>
            <w:pPr>
              <w:jc w:val="right"/>
              <w:rPr>
                <w:b/>
                <w:i w:val="0"/>
                <w:sz w:val="16"/>
              </w:rPr>
            </w:pPr>
            <w:r>
              <w:rPr>
                <w:b/>
                <w:i w:val="0"/>
                <w:sz w:val="16"/>
              </w:rPr>
              <w:t>29 799 000,00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(без тези по линия на EURI)</w:t>
            </w:r>
          </w:p>
        </w:tc>
        <w:tc>
          <w:tcPr>
            <w:tcW w:w="200" w:type="dxa"/>
            <w:shd w:val="clear" w:color="auto" w:fill="C0C0C0"/>
            <w:noWrap w:val="0"/>
            <w:tcMar>
              <w:top w:w="60" w:type="dxa"/>
            </w:tcMar>
            <w:vAlign w:val="top"/>
          </w:tcPr>
          <w:p>
            <w:pPr>
              <w:jc w:val="right"/>
              <w:rPr>
                <w:b/>
                <w:i w:val="0"/>
                <w:sz w:val="16"/>
              </w:rPr>
            </w:pPr>
            <w:r>
              <w:rPr>
                <w:b/>
                <w:i w:val="0"/>
                <w:sz w:val="16"/>
              </w:rPr>
              <w:t>0,00</w:t>
            </w: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276 362 304,00</w:t>
            </w:r>
          </w:p>
        </w:tc>
        <w:tc>
          <w:tcPr>
            <w:tcW w:w="200" w:type="dxa"/>
            <w:shd w:val="clear" w:color="auto" w:fill="C0C0C0"/>
            <w:noWrap w:val="0"/>
            <w:tcMar>
              <w:top w:w="60" w:type="dxa"/>
            </w:tcMar>
            <w:vAlign w:val="top"/>
          </w:tcPr>
          <w:p>
            <w:pPr>
              <w:jc w:val="right"/>
              <w:rPr>
                <w:b/>
                <w:i w:val="0"/>
                <w:sz w:val="16"/>
              </w:rPr>
            </w:pPr>
            <w:r>
              <w:rPr>
                <w:b/>
                <w:i w:val="0"/>
                <w:sz w:val="16"/>
              </w:rPr>
              <w:t>284 028 644,00</w:t>
            </w:r>
          </w:p>
        </w:tc>
        <w:tc>
          <w:tcPr>
            <w:tcW w:w="200" w:type="dxa"/>
            <w:shd w:val="clear" w:color="auto" w:fill="C0C0C0"/>
            <w:noWrap w:val="0"/>
            <w:tcMar>
              <w:top w:w="60" w:type="dxa"/>
            </w:tcMar>
            <w:vAlign w:val="top"/>
          </w:tcPr>
          <w:p>
            <w:pPr>
              <w:jc w:val="right"/>
              <w:rPr>
                <w:b/>
                <w:i w:val="0"/>
                <w:sz w:val="16"/>
              </w:rPr>
            </w:pPr>
            <w:r>
              <w:rPr>
                <w:b/>
                <w:i w:val="0"/>
                <w:sz w:val="16"/>
              </w:rPr>
              <w:t>2 927 107 914,00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30 168 440,46</w:t>
            </w:r>
          </w:p>
        </w:tc>
        <w:tc>
          <w:tcPr>
            <w:tcW w:w="200" w:type="dxa"/>
            <w:shd w:val="clear" w:color="auto" w:fill="FFFFFF"/>
            <w:noWrap w:val="0"/>
            <w:tcMar>
              <w:top w:w="60" w:type="dxa"/>
            </w:tcMar>
            <w:vAlign w:val="top"/>
          </w:tcPr>
          <w:p>
            <w:pPr>
              <w:jc w:val="right"/>
              <w:rPr>
                <w:b/>
                <w:i w:val="0"/>
                <w:sz w:val="16"/>
              </w:rPr>
            </w:pPr>
            <w:r>
              <w:rPr>
                <w:b/>
                <w:i w:val="0"/>
                <w:sz w:val="16"/>
              </w:rPr>
              <w:t>30 141 423,42</w:t>
            </w:r>
          </w:p>
        </w:tc>
        <w:tc>
          <w:tcPr>
            <w:tcW w:w="200" w:type="dxa"/>
            <w:shd w:val="clear" w:color="auto" w:fill="FFFFFF"/>
            <w:noWrap w:val="0"/>
            <w:tcMar>
              <w:top w:w="60" w:type="dxa"/>
            </w:tcMar>
            <w:vAlign w:val="top"/>
          </w:tcPr>
          <w:p>
            <w:pPr>
              <w:jc w:val="right"/>
              <w:rPr>
                <w:b/>
                <w:i w:val="0"/>
                <w:sz w:val="16"/>
              </w:rPr>
            </w:pPr>
            <w:r>
              <w:rPr>
                <w:b/>
                <w:i w:val="0"/>
                <w:sz w:val="16"/>
              </w:rPr>
              <w:t>20 048 879,64</w:t>
            </w:r>
          </w:p>
        </w:tc>
        <w:tc>
          <w:tcPr>
            <w:tcW w:w="200" w:type="dxa"/>
            <w:shd w:val="clear" w:color="auto" w:fill="FFFFFF"/>
            <w:noWrap w:val="0"/>
            <w:tcMar>
              <w:top w:w="60" w:type="dxa"/>
            </w:tcMar>
            <w:vAlign w:val="top"/>
          </w:tcPr>
          <w:p>
            <w:pPr>
              <w:jc w:val="right"/>
              <w:rPr>
                <w:b/>
                <w:i w:val="0"/>
                <w:sz w:val="16"/>
              </w:rPr>
            </w:pPr>
            <w:r>
              <w:rPr>
                <w:b/>
                <w:i w:val="0"/>
                <w:sz w:val="16"/>
              </w:rPr>
              <w:t>20 020 803,12</w:t>
            </w:r>
          </w:p>
        </w:tc>
        <w:tc>
          <w:tcPr>
            <w:tcW w:w="200" w:type="dxa"/>
            <w:shd w:val="clear" w:color="auto" w:fill="FFFFFF"/>
            <w:noWrap w:val="0"/>
            <w:tcMar>
              <w:top w:w="60" w:type="dxa"/>
            </w:tcMar>
            <w:vAlign w:val="top"/>
          </w:tcPr>
          <w:p>
            <w:pPr>
              <w:jc w:val="right"/>
              <w:rPr>
                <w:b/>
                <w:i w:val="0"/>
                <w:sz w:val="16"/>
              </w:rPr>
            </w:pPr>
            <w:r>
              <w:rPr>
                <w:b/>
                <w:i w:val="0"/>
                <w:sz w:val="16"/>
              </w:rPr>
              <w:t>19 991 238,36</w:t>
            </w:r>
          </w:p>
        </w:tc>
        <w:tc>
          <w:tcPr>
            <w:tcW w:w="200" w:type="dxa"/>
            <w:shd w:val="clear" w:color="auto" w:fill="FFFFFF"/>
            <w:noWrap w:val="0"/>
            <w:tcMar>
              <w:top w:w="60" w:type="dxa"/>
            </w:tcMar>
            <w:vAlign w:val="top"/>
          </w:tcPr>
          <w:p>
            <w:pPr>
              <w:jc w:val="right"/>
              <w:rPr>
                <w:b/>
                <w:i w:val="0"/>
                <w:sz w:val="16"/>
              </w:rPr>
            </w:pPr>
            <w:r>
              <w:rPr>
                <w:b/>
                <w:i w:val="0"/>
                <w:sz w:val="16"/>
              </w:rPr>
              <w:t>19 956 252,96</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val="0"/>
                <w:i w:val="0"/>
                <w:sz w:val="16"/>
              </w:rPr>
            </w:pPr>
            <w:r>
              <w:rPr>
                <w:b/>
                <w:i w:val="0"/>
                <w:sz w:val="16"/>
              </w:rPr>
              <w:t>140 327 037,96</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да) от Регламент (ЕС) № 1305/2013 - EURI(NGEU)/Операции, финансирани от допълнителните средства, посочени в член 58а, параграф 1</w:t>
            </w: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r>
              <w:rPr>
                <w:b w:val="0"/>
                <w:i w:val="0"/>
                <w:sz w:val="16"/>
              </w:rPr>
              <w:t>59 744 633,00</w:t>
            </w:r>
          </w:p>
        </w:tc>
        <w:tc>
          <w:tcPr>
            <w:tcW w:w="200" w:type="dxa"/>
            <w:shd w:val="clear" w:color="auto" w:fill="FFFFFF"/>
            <w:noWrap w:val="0"/>
            <w:tcMar>
              <w:top w:w="60" w:type="dxa"/>
            </w:tcMar>
            <w:vAlign w:val="top"/>
          </w:tcPr>
          <w:p>
            <w:pPr>
              <w:jc w:val="right"/>
              <w:rPr>
                <w:b/>
                <w:i w:val="0"/>
                <w:sz w:val="16"/>
              </w:rPr>
            </w:pPr>
            <w:r>
              <w:rPr>
                <w:b w:val="0"/>
                <w:i w:val="0"/>
                <w:sz w:val="16"/>
              </w:rPr>
              <w:t>142 192 228,00</w:t>
            </w:r>
          </w:p>
        </w:tc>
        <w:tc>
          <w:tcPr>
            <w:tcW w:w="200" w:type="dxa"/>
            <w:shd w:val="clear" w:color="auto" w:fill="FFFFFF"/>
            <w:noWrap w:val="0"/>
            <w:tcMar>
              <w:top w:w="60" w:type="dxa"/>
            </w:tcMar>
            <w:vAlign w:val="top"/>
          </w:tcPr>
          <w:p>
            <w:pPr>
              <w:jc w:val="right"/>
              <w:rPr>
                <w:b/>
                <w:i w:val="0"/>
                <w:sz w:val="16"/>
              </w:rPr>
            </w:pPr>
            <w:r>
              <w:rPr>
                <w:b/>
                <w:i w:val="0"/>
                <w:sz w:val="16"/>
              </w:rPr>
              <w:t>201 936 861,00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 EURI)</w:t>
            </w:r>
          </w:p>
        </w:tc>
        <w:tc>
          <w:tcPr>
            <w:tcW w:w="200" w:type="dxa"/>
            <w:shd w:val="clear" w:color="auto" w:fill="C0C0C0"/>
            <w:noWrap w:val="0"/>
            <w:tcMar>
              <w:top w:w="60" w:type="dxa"/>
            </w:tcMar>
            <w:vAlign w:val="top"/>
          </w:tcPr>
          <w:p>
            <w:pPr>
              <w:jc w:val="right"/>
              <w:rPr>
                <w:b/>
                <w:i w:val="0"/>
                <w:sz w:val="16"/>
              </w:rPr>
            </w:pP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336 106 937,00</w:t>
            </w:r>
          </w:p>
        </w:tc>
        <w:tc>
          <w:tcPr>
            <w:tcW w:w="200" w:type="dxa"/>
            <w:shd w:val="clear" w:color="auto" w:fill="C0C0C0"/>
            <w:noWrap w:val="0"/>
            <w:tcMar>
              <w:top w:w="60" w:type="dxa"/>
            </w:tcMar>
            <w:vAlign w:val="top"/>
          </w:tcPr>
          <w:p>
            <w:pPr>
              <w:jc w:val="right"/>
              <w:rPr>
                <w:b/>
                <w:i w:val="0"/>
                <w:sz w:val="16"/>
              </w:rPr>
            </w:pPr>
            <w:r>
              <w:rPr>
                <w:b/>
                <w:i w:val="0"/>
                <w:sz w:val="16"/>
              </w:rPr>
              <w:t>426 220 872,00</w:t>
            </w:r>
          </w:p>
        </w:tc>
        <w:tc>
          <w:tcPr>
            <w:tcW w:w="200" w:type="dxa"/>
            <w:shd w:val="clear" w:color="auto" w:fill="C0C0C0"/>
            <w:noWrap w:val="0"/>
            <w:tcMar>
              <w:top w:w="60" w:type="dxa"/>
            </w:tcMar>
            <w:vAlign w:val="top"/>
          </w:tcPr>
          <w:p>
            <w:pPr>
              <w:jc w:val="right"/>
              <w:rPr>
                <w:b w:val="0"/>
                <w:i w:val="0"/>
                <w:sz w:val="16"/>
              </w:rPr>
            </w:pPr>
            <w:r>
              <w:rPr>
                <w:b/>
                <w:i w:val="0"/>
                <w:sz w:val="16"/>
              </w:rPr>
              <w:t>3 129 044 775,00</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indicative amount for EAFRD and EURI of support envisaged for climate change objectives</w:t>
            </w:r>
          </w:p>
        </w:tc>
        <w:tc>
          <w:tcPr>
            <w:tcW w:w="600" w:type="pct"/>
            <w:shd w:val="clear" w:color="auto" w:fill="FFFFFF"/>
            <w:noWrap w:val="0"/>
            <w:tcMar>
              <w:top w:w="60" w:type="dxa"/>
            </w:tcMar>
            <w:vAlign w:val="top"/>
          </w:tcPr>
          <w:p>
            <w:pPr>
              <w:jc w:val="right"/>
              <w:rPr>
                <w:b w:val="0"/>
                <w:i w:val="0"/>
                <w:sz w:val="16"/>
              </w:rPr>
            </w:pPr>
            <w:r>
              <w:rPr>
                <w:b/>
                <w:i w:val="0"/>
                <w:sz w:val="16"/>
              </w:rPr>
              <w:t>1 527 174 046,00</w:t>
            </w:r>
          </w:p>
        </w:tc>
        <w:tc>
          <w:tcPr>
            <w:tcW w:w="1900" w:type="pct"/>
            <w:shd w:val="clear" w:color="auto" w:fill="C0C0C0"/>
            <w:noWrap w:val="0"/>
            <w:tcMar>
              <w:top w:w="60" w:type="dxa"/>
            </w:tcMar>
            <w:vAlign w:val="top"/>
          </w:tcPr>
          <w:p>
            <w:pPr>
              <w:jc w:val="left"/>
              <w:rPr>
                <w:b/>
                <w:i w:val="0"/>
                <w:sz w:val="16"/>
              </w:rPr>
            </w:pPr>
            <w:r>
              <w:rPr>
                <w:b w:val="0"/>
                <w:i w:val="0"/>
                <w:sz w:val="16"/>
              </w:rPr>
              <w:t>Share of the total indicative amount for EAFRD and EURI of support envisaged for climate change objectives (%)</w:t>
            </w:r>
          </w:p>
        </w:tc>
        <w:tc>
          <w:tcPr>
            <w:tcW w:w="600" w:type="pct"/>
            <w:shd w:val="clear" w:color="auto" w:fill="FFFFFF"/>
            <w:noWrap w:val="0"/>
            <w:tcMar>
              <w:top w:w="60" w:type="dxa"/>
            </w:tcMar>
            <w:vAlign w:val="top"/>
          </w:tcPr>
          <w:p>
            <w:pPr>
              <w:jc w:val="right"/>
              <w:rPr>
                <w:b w:val="0"/>
                <w:i w:val="0"/>
                <w:sz w:val="16"/>
              </w:rPr>
            </w:pPr>
            <w:r>
              <w:rPr>
                <w:b/>
                <w:i w:val="0"/>
                <w:sz w:val="16"/>
              </w:rPr>
              <w:t>48,81</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indicative amount, for EAFRD, of support envisaged for climate change objectives</w:t>
            </w:r>
          </w:p>
        </w:tc>
        <w:tc>
          <w:tcPr>
            <w:tcW w:w="600" w:type="pct"/>
            <w:shd w:val="clear" w:color="auto" w:fill="FFFFFF"/>
            <w:noWrap w:val="0"/>
            <w:tcMar>
              <w:top w:w="60" w:type="dxa"/>
            </w:tcMar>
            <w:vAlign w:val="top"/>
          </w:tcPr>
          <w:p>
            <w:pPr>
              <w:jc w:val="right"/>
              <w:rPr>
                <w:b w:val="0"/>
                <w:i w:val="0"/>
                <w:sz w:val="16"/>
              </w:rPr>
            </w:pPr>
            <w:r>
              <w:rPr>
                <w:b/>
                <w:i w:val="0"/>
                <w:sz w:val="16"/>
              </w:rPr>
              <w:t>1 442 454 046,00</w:t>
            </w:r>
          </w:p>
        </w:tc>
        <w:tc>
          <w:tcPr>
            <w:tcW w:w="1900" w:type="pct"/>
            <w:shd w:val="clear" w:color="auto" w:fill="C0C0C0"/>
            <w:noWrap w:val="0"/>
            <w:tcMar>
              <w:top w:w="60" w:type="dxa"/>
            </w:tcMar>
            <w:vAlign w:val="top"/>
          </w:tcPr>
          <w:p>
            <w:pPr>
              <w:jc w:val="left"/>
              <w:rPr>
                <w:b/>
                <w:i w:val="0"/>
                <w:sz w:val="16"/>
              </w:rPr>
            </w:pPr>
            <w:r>
              <w:rPr>
                <w:b w:val="0"/>
                <w:i w:val="0"/>
                <w:sz w:val="16"/>
              </w:rPr>
              <w:t>Share of the total indicative amount, for EAFRD, of support envisaged for climate change objectives (%)</w:t>
            </w:r>
          </w:p>
        </w:tc>
        <w:tc>
          <w:tcPr>
            <w:tcW w:w="600" w:type="pct"/>
            <w:shd w:val="clear" w:color="auto" w:fill="FFFFFF"/>
            <w:noWrap w:val="0"/>
            <w:tcMar>
              <w:top w:w="60" w:type="dxa"/>
            </w:tcMar>
            <w:vAlign w:val="top"/>
          </w:tcPr>
          <w:p>
            <w:pPr>
              <w:jc w:val="right"/>
              <w:rPr>
                <w:b w:val="0"/>
                <w:i w:val="0"/>
                <w:sz w:val="16"/>
              </w:rPr>
            </w:pPr>
            <w:r>
              <w:rPr>
                <w:b/>
                <w:i w:val="0"/>
                <w:sz w:val="16"/>
              </w:rPr>
              <w:t>49,28</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indicative amount, for EURI, of support envisaged for climate change objectives</w:t>
            </w:r>
          </w:p>
        </w:tc>
        <w:tc>
          <w:tcPr>
            <w:tcW w:w="600" w:type="pct"/>
            <w:shd w:val="clear" w:color="auto" w:fill="FFFFFF"/>
            <w:noWrap w:val="0"/>
            <w:tcMar>
              <w:top w:w="60" w:type="dxa"/>
            </w:tcMar>
            <w:vAlign w:val="top"/>
          </w:tcPr>
          <w:p>
            <w:pPr>
              <w:jc w:val="right"/>
              <w:rPr>
                <w:b w:val="0"/>
                <w:i w:val="0"/>
                <w:sz w:val="16"/>
              </w:rPr>
            </w:pPr>
            <w:r>
              <w:rPr>
                <w:b/>
                <w:i w:val="0"/>
                <w:sz w:val="16"/>
              </w:rPr>
              <w:t>84 720 000,00</w:t>
            </w:r>
          </w:p>
        </w:tc>
        <w:tc>
          <w:tcPr>
            <w:tcW w:w="1900" w:type="pct"/>
            <w:shd w:val="clear" w:color="auto" w:fill="C0C0C0"/>
            <w:noWrap w:val="0"/>
            <w:tcMar>
              <w:top w:w="60" w:type="dxa"/>
            </w:tcMar>
            <w:vAlign w:val="top"/>
          </w:tcPr>
          <w:p>
            <w:pPr>
              <w:jc w:val="left"/>
              <w:rPr>
                <w:b/>
                <w:i w:val="0"/>
                <w:sz w:val="16"/>
              </w:rPr>
            </w:pPr>
            <w:r>
              <w:rPr>
                <w:b w:val="0"/>
                <w:i w:val="0"/>
                <w:sz w:val="16"/>
              </w:rPr>
              <w:t>Share of total indicative amount, for EURI, of support envisaged for climate change objectives (%)</w:t>
            </w:r>
          </w:p>
        </w:tc>
        <w:tc>
          <w:tcPr>
            <w:tcW w:w="600" w:type="pct"/>
            <w:shd w:val="clear" w:color="auto" w:fill="FFFFFF"/>
            <w:noWrap w:val="0"/>
            <w:tcMar>
              <w:top w:w="60" w:type="dxa"/>
            </w:tcMar>
            <w:vAlign w:val="top"/>
          </w:tcPr>
          <w:p>
            <w:pPr>
              <w:jc w:val="right"/>
              <w:rPr>
                <w:b w:val="0"/>
                <w:i w:val="0"/>
                <w:sz w:val="16"/>
              </w:rPr>
            </w:pPr>
            <w:r>
              <w:rPr>
                <w:b/>
                <w:i w:val="0"/>
                <w:sz w:val="16"/>
              </w:rPr>
              <w:t>41,95</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EAFRD and EURI contribution for Art59(6)</w:t>
            </w:r>
          </w:p>
        </w:tc>
        <w:tc>
          <w:tcPr>
            <w:tcW w:w="600" w:type="pct"/>
            <w:shd w:val="clear" w:color="auto" w:fill="FFFFFF"/>
            <w:noWrap w:val="0"/>
            <w:tcMar>
              <w:top w:w="60" w:type="dxa"/>
            </w:tcMar>
            <w:vAlign w:val="top"/>
          </w:tcPr>
          <w:p>
            <w:pPr>
              <w:jc w:val="right"/>
              <w:rPr>
                <w:b w:val="0"/>
                <w:i w:val="0"/>
                <w:sz w:val="16"/>
              </w:rPr>
            </w:pPr>
            <w:r>
              <w:rPr>
                <w:b/>
                <w:i w:val="0"/>
                <w:sz w:val="16"/>
              </w:rPr>
              <w:t>1 176 557 533,00</w:t>
            </w:r>
          </w:p>
        </w:tc>
        <w:tc>
          <w:tcPr>
            <w:tcW w:w="1900" w:type="pct"/>
            <w:shd w:val="clear" w:color="auto" w:fill="C0C0C0"/>
            <w:noWrap w:val="0"/>
            <w:tcMar>
              <w:top w:w="60" w:type="dxa"/>
            </w:tcMar>
            <w:vAlign w:val="top"/>
          </w:tcPr>
          <w:p>
            <w:pPr>
              <w:jc w:val="left"/>
              <w:rPr>
                <w:b/>
                <w:i w:val="0"/>
                <w:sz w:val="16"/>
              </w:rPr>
            </w:pPr>
            <w:r>
              <w:rPr>
                <w:b w:val="0"/>
                <w:i w:val="0"/>
                <w:sz w:val="16"/>
              </w:rPr>
              <w:t>Share of EAFRD and EURI contribution for Art59(6) (%)</w:t>
            </w:r>
          </w:p>
        </w:tc>
        <w:tc>
          <w:tcPr>
            <w:tcW w:w="600" w:type="pct"/>
            <w:shd w:val="clear" w:color="auto" w:fill="FFFFFF"/>
            <w:noWrap w:val="0"/>
            <w:tcMar>
              <w:top w:w="60" w:type="dxa"/>
            </w:tcMar>
            <w:vAlign w:val="top"/>
          </w:tcPr>
          <w:p>
            <w:pPr>
              <w:jc w:val="right"/>
              <w:rPr>
                <w:b w:val="0"/>
                <w:i w:val="0"/>
                <w:sz w:val="16"/>
              </w:rPr>
            </w:pPr>
            <w:r>
              <w:rPr>
                <w:b/>
                <w:i w:val="0"/>
                <w:sz w:val="16"/>
              </w:rPr>
              <w:t>37,60</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EAFRD contribution for Art59(6)</w:t>
            </w:r>
          </w:p>
        </w:tc>
        <w:tc>
          <w:tcPr>
            <w:tcW w:w="600" w:type="pct"/>
            <w:shd w:val="clear" w:color="auto" w:fill="FFFFFF"/>
            <w:noWrap w:val="0"/>
            <w:tcMar>
              <w:top w:w="60" w:type="dxa"/>
            </w:tcMar>
            <w:vAlign w:val="top"/>
          </w:tcPr>
          <w:p>
            <w:pPr>
              <w:jc w:val="right"/>
              <w:rPr>
                <w:b w:val="0"/>
                <w:i w:val="0"/>
                <w:sz w:val="16"/>
              </w:rPr>
            </w:pPr>
            <w:r>
              <w:rPr>
                <w:b/>
                <w:i w:val="0"/>
                <w:sz w:val="16"/>
              </w:rPr>
              <w:t>1 091 837 533,00</w:t>
            </w:r>
          </w:p>
        </w:tc>
        <w:tc>
          <w:tcPr>
            <w:tcW w:w="1900" w:type="pct"/>
            <w:shd w:val="clear" w:color="auto" w:fill="C0C0C0"/>
            <w:noWrap w:val="0"/>
            <w:tcMar>
              <w:top w:w="60" w:type="dxa"/>
            </w:tcMar>
            <w:vAlign w:val="top"/>
          </w:tcPr>
          <w:p>
            <w:pPr>
              <w:jc w:val="left"/>
              <w:rPr>
                <w:b/>
                <w:i w:val="0"/>
                <w:sz w:val="16"/>
              </w:rPr>
            </w:pPr>
            <w:r>
              <w:rPr>
                <w:b w:val="0"/>
                <w:i w:val="0"/>
                <w:sz w:val="16"/>
              </w:rPr>
              <w:t>Share of total EAFRD contribution for Art59(6) (%)</w:t>
            </w:r>
          </w:p>
        </w:tc>
        <w:tc>
          <w:tcPr>
            <w:tcW w:w="600" w:type="pct"/>
            <w:shd w:val="clear" w:color="auto" w:fill="FFFFFF"/>
            <w:noWrap w:val="0"/>
            <w:tcMar>
              <w:top w:w="60" w:type="dxa"/>
            </w:tcMar>
            <w:vAlign w:val="top"/>
          </w:tcPr>
          <w:p>
            <w:pPr>
              <w:jc w:val="right"/>
              <w:rPr>
                <w:b w:val="0"/>
                <w:i w:val="0"/>
                <w:sz w:val="16"/>
              </w:rPr>
            </w:pPr>
            <w:r>
              <w:rPr>
                <w:b/>
                <w:i w:val="0"/>
                <w:sz w:val="16"/>
              </w:rPr>
              <w:t>35.71</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Total EURI contribution for Art59(6)</w:t>
            </w:r>
          </w:p>
        </w:tc>
        <w:tc>
          <w:tcPr>
            <w:tcW w:w="600" w:type="pct"/>
            <w:shd w:val="clear" w:color="auto" w:fill="FFFFFF"/>
            <w:noWrap w:val="0"/>
            <w:tcMar>
              <w:top w:w="60" w:type="dxa"/>
            </w:tcMar>
            <w:vAlign w:val="top"/>
          </w:tcPr>
          <w:p>
            <w:pPr>
              <w:jc w:val="right"/>
              <w:rPr>
                <w:b w:val="0"/>
                <w:i w:val="0"/>
                <w:sz w:val="16"/>
              </w:rPr>
            </w:pPr>
            <w:r>
              <w:rPr>
                <w:b/>
                <w:i w:val="0"/>
                <w:sz w:val="16"/>
              </w:rPr>
              <w:t>84 720 000,00</w:t>
            </w:r>
          </w:p>
        </w:tc>
        <w:tc>
          <w:tcPr>
            <w:tcW w:w="1900" w:type="pct"/>
            <w:shd w:val="clear" w:color="auto" w:fill="C0C0C0"/>
            <w:noWrap w:val="0"/>
            <w:tcMar>
              <w:top w:w="60" w:type="dxa"/>
            </w:tcMar>
            <w:vAlign w:val="top"/>
          </w:tcPr>
          <w:p>
            <w:pPr>
              <w:jc w:val="left"/>
              <w:rPr>
                <w:b/>
                <w:i w:val="0"/>
                <w:sz w:val="16"/>
              </w:rPr>
            </w:pPr>
            <w:r>
              <w:rPr>
                <w:b w:val="0"/>
                <w:i w:val="0"/>
                <w:sz w:val="16"/>
              </w:rPr>
              <w:t>Share of total EURI contribution for Art59(6) (%)</w:t>
            </w:r>
          </w:p>
        </w:tc>
        <w:tc>
          <w:tcPr>
            <w:tcW w:w="600" w:type="pct"/>
            <w:shd w:val="clear" w:color="auto" w:fill="FFFFFF"/>
            <w:noWrap w:val="0"/>
            <w:tcMar>
              <w:top w:w="60" w:type="dxa"/>
            </w:tcMar>
            <w:vAlign w:val="top"/>
          </w:tcPr>
          <w:p>
            <w:pPr>
              <w:jc w:val="right"/>
              <w:rPr>
                <w:b w:val="0"/>
                <w:i w:val="0"/>
                <w:sz w:val="16"/>
              </w:rPr>
            </w:pPr>
            <w:r>
              <w:rPr>
                <w:b/>
                <w:i w:val="0"/>
                <w:sz w:val="16"/>
              </w:rPr>
              <w:t>41,95</w:t>
            </w:r>
          </w:p>
        </w:tc>
      </w:tr>
    </w:tbl>
    <w:p>
      <w:pPr>
        <w:rPr>
          <w:b/>
          <w:i w:val="0"/>
        </w:rPr>
      </w:pPr>
    </w:p>
    <w:p>
      <w:pPr>
        <w:rPr>
          <w:b/>
          <w:i w:val="0"/>
        </w:rPr>
        <w:sectPr>
          <w:pgSz w:w="15840" w:h="12240" w:orient="landscape"/>
          <w:pgMar w:top="900" w:right="900" w:bottom="900" w:left="900" w:header="720" w:footer="720"/>
          <w:cols w:space="720"/>
        </w:sectPr>
      </w:pPr>
    </w:p>
    <w:p>
      <w:pPr>
        <w:pStyle w:val="Heading2"/>
      </w:pPr>
      <w:r>
        <w:t xml:space="preserve"> </w:t>
      </w:r>
      <w:bookmarkStart w:id="145" w:name="_Toc256000145"/>
      <w:r>
        <w:t>Единно процентно участие на ЕЗФРСР за всички мерки с разбивка по вид регион, съгласно посоченото в член 59, параграф 3 от Регламент (ЕС) № 1305/2013</w:t>
      </w:r>
      <w:bookmarkEnd w:id="1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2022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2022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6" w:name="_Toc256000146"/>
      <w:r>
        <w:rPr>
          <w:b/>
        </w:rPr>
        <w:t>Разбивката по мярка или вид операция, с конкретния размер на процентното участие на ЕЗФРСР (в евро за целия период 2014 — 2022 г.)</w:t>
      </w:r>
      <w:bookmarkEnd w:id="146"/>
    </w:p>
    <w:p>
      <w:pPr>
        <w:pStyle w:val="Heading3"/>
        <w:jc w:val="left"/>
        <w:rPr>
          <w:b w:val="0"/>
        </w:rPr>
      </w:pPr>
      <w:bookmarkStart w:id="147" w:name="_Toc256000147"/>
      <w:r>
        <w:rPr>
          <w:b w:val="0"/>
        </w:rPr>
        <w:t>М01 — Трансфер на знания и действия за осведомяване (член 14)</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3 154 864,00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20 700 000,00</w:t>
            </w:r>
            <w:r>
              <w:rPr>
                <w:b w:val="0"/>
                <w:sz w:val="16"/>
              </w:rPr>
              <w:br/>
            </w:r>
            <w:r>
              <w:rPr>
                <w:b w:val="0"/>
                <w:sz w:val="16"/>
              </w:rPr>
              <w:t>0,00</w:t>
            </w:r>
            <w:r>
              <w:rPr>
                <w:b w:val="0"/>
                <w:sz w:val="16"/>
              </w:rPr>
              <w:br/>
            </w:r>
            <w:r>
              <w:rPr>
                <w:b w:val="0"/>
                <w:sz w:val="16"/>
              </w:rPr>
              <w:t>20 700 000,00</w:t>
            </w:r>
          </w:p>
        </w:tc>
      </w:tr>
    </w:tbl>
    <w:p>
      <w:pPr>
        <w:pStyle w:val="Heading3"/>
        <w:jc w:val="left"/>
        <w:rPr>
          <w:b w:val="0"/>
        </w:rPr>
      </w:pPr>
      <w:r>
        <w:rPr>
          <w:b/>
        </w:rPr>
        <w:br w:type="page"/>
      </w:r>
      <w:bookmarkStart w:id="148" w:name="_Toc256000148"/>
      <w:r>
        <w:rPr>
          <w:b w:val="0"/>
        </w:rPr>
        <w:t>М02 —  Консултантски услуги, услуги по управление на стопанство и услуги по заместване в стопанство (член 15)</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8 156 117,00 (2A)</w:t>
            </w:r>
          </w:p>
          <w:p>
            <w:pPr>
              <w:jc w:val="right"/>
              <w:rPr>
                <w:b w:val="0"/>
                <w:sz w:val="16"/>
              </w:rPr>
            </w:pPr>
            <w:r>
              <w:rPr>
                <w:b w:val="0"/>
                <w:sz w:val="16"/>
              </w:rPr>
              <w:t>2 766 352,00 (2B)</w:t>
            </w:r>
          </w:p>
          <w:p>
            <w:pPr>
              <w:jc w:val="right"/>
              <w:rPr>
                <w:b w:val="0"/>
                <w:sz w:val="16"/>
              </w:rPr>
            </w:pPr>
            <w:r>
              <w:rPr>
                <w:b w:val="0"/>
                <w:sz w:val="16"/>
              </w:rPr>
              <w:t>768 158,00 (3A)</w:t>
            </w:r>
          </w:p>
          <w:p>
            <w:pPr>
              <w:jc w:val="right"/>
              <w:rPr>
                <w:b w:val="0"/>
                <w:sz w:val="16"/>
              </w:rPr>
            </w:pPr>
            <w:r>
              <w:rPr>
                <w:b w:val="0"/>
                <w:sz w:val="16"/>
              </w:rPr>
              <w:t>399 258,00 (3B)</w:t>
            </w:r>
          </w:p>
          <w:p>
            <w:pPr>
              <w:jc w:val="right"/>
              <w:rPr>
                <w:b w:val="0"/>
                <w:sz w:val="16"/>
              </w:rPr>
            </w:pPr>
            <w:r>
              <w:rPr>
                <w:b w:val="0"/>
                <w:sz w:val="16"/>
              </w:rPr>
              <w:t>1 966 202,00 (P4)</w:t>
            </w:r>
          </w:p>
          <w:p>
            <w:pPr>
              <w:jc w:val="right"/>
              <w:rPr>
                <w:b w:val="0"/>
                <w:sz w:val="16"/>
              </w:rPr>
            </w:pPr>
            <w:r>
              <w:rPr>
                <w:b w:val="0"/>
                <w:sz w:val="16"/>
              </w:rPr>
              <w:t>296 151,00 (5A)</w:t>
            </w:r>
          </w:p>
          <w:p>
            <w:pPr>
              <w:jc w:val="right"/>
              <w:rPr>
                <w:b w:val="0"/>
                <w:sz w:val="16"/>
              </w:rPr>
            </w:pPr>
            <w:r>
              <w:rPr>
                <w:b w:val="0"/>
                <w:sz w:val="16"/>
              </w:rPr>
              <w:t>838 020,00 (5B)</w:t>
            </w:r>
          </w:p>
          <w:p>
            <w:pPr>
              <w:jc w:val="right"/>
              <w:rPr>
                <w:b w:val="0"/>
                <w:sz w:val="16"/>
              </w:rPr>
            </w:pPr>
            <w:r>
              <w:rPr>
                <w:b w:val="0"/>
                <w:sz w:val="16"/>
              </w:rPr>
              <w:t>838 020,00 (5C)</w:t>
            </w:r>
          </w:p>
          <w:p>
            <w:pPr>
              <w:jc w:val="right"/>
              <w:rPr>
                <w:b w:val="0"/>
                <w:sz w:val="16"/>
              </w:rPr>
            </w:pPr>
            <w:r>
              <w:rPr>
                <w:b w:val="0"/>
                <w:sz w:val="16"/>
              </w:rPr>
              <w:t>838 020,00 (5D)</w:t>
            </w:r>
          </w:p>
          <w:p>
            <w:pPr>
              <w:jc w:val="right"/>
              <w:rPr>
                <w:b w:val="0"/>
                <w:sz w:val="16"/>
              </w:rPr>
            </w:pPr>
            <w:r>
              <w:rPr>
                <w:b w:val="0"/>
                <w:sz w:val="16"/>
              </w:rPr>
              <w:t>838 020,00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17 704 318,00</w:t>
            </w:r>
            <w:r>
              <w:rPr>
                <w:b w:val="0"/>
                <w:sz w:val="16"/>
              </w:rPr>
              <w:br/>
            </w:r>
            <w:r>
              <w:rPr>
                <w:b w:val="0"/>
                <w:sz w:val="16"/>
              </w:rPr>
              <w:t>0,00</w:t>
            </w:r>
            <w:r>
              <w:rPr>
                <w:b w:val="0"/>
                <w:sz w:val="16"/>
              </w:rPr>
              <w:br/>
            </w:r>
            <w:r>
              <w:rPr>
                <w:b w:val="0"/>
                <w:sz w:val="16"/>
              </w:rPr>
              <w:t>17 704 318,00</w:t>
            </w:r>
          </w:p>
        </w:tc>
      </w:tr>
    </w:tbl>
    <w:p>
      <w:pPr>
        <w:pStyle w:val="Heading3"/>
        <w:jc w:val="left"/>
        <w:rPr>
          <w:b w:val="0"/>
        </w:rPr>
      </w:pPr>
      <w:r>
        <w:rPr>
          <w:b/>
        </w:rPr>
        <w:br w:type="page"/>
      </w:r>
      <w:bookmarkStart w:id="149" w:name="_Toc256000149"/>
      <w:r>
        <w:rPr>
          <w:b w:val="0"/>
        </w:rPr>
        <w:t>M04 — Инвестиции в материални активи (член 17)</w:t>
      </w:r>
      <w:bookmarkEnd w:id="1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13 000 000,00</w:t>
            </w:r>
          </w:p>
        </w:tc>
        <w:tc>
          <w:tcPr>
            <w:tcW w:w="2400" w:type="dxa"/>
            <w:shd w:val="clear" w:color="auto" w:fill="FFFFFF"/>
            <w:noWrap w:val="0"/>
            <w:tcMar>
              <w:top w:w="60" w:type="dxa"/>
            </w:tcMar>
            <w:vAlign w:val="top"/>
          </w:tcPr>
          <w:p>
            <w:pPr>
              <w:jc w:val="right"/>
              <w:rPr>
                <w:b w:val="0"/>
                <w:sz w:val="16"/>
              </w:rPr>
            </w:pPr>
            <w:r>
              <w:rPr>
                <w:b w:val="0"/>
                <w:sz w:val="16"/>
              </w:rPr>
              <w:t>305 396 927,00 (2A)</w:t>
            </w:r>
          </w:p>
          <w:p>
            <w:pPr>
              <w:jc w:val="right"/>
              <w:rPr>
                <w:b w:val="0"/>
                <w:sz w:val="16"/>
              </w:rPr>
            </w:pPr>
            <w:r>
              <w:rPr>
                <w:b w:val="0"/>
                <w:sz w:val="16"/>
              </w:rPr>
              <w:t>71 445 025,00 (2B)</w:t>
            </w:r>
          </w:p>
          <w:p>
            <w:pPr>
              <w:jc w:val="right"/>
              <w:rPr>
                <w:b w:val="0"/>
                <w:sz w:val="16"/>
              </w:rPr>
            </w:pPr>
            <w:r>
              <w:rPr>
                <w:b w:val="0"/>
                <w:sz w:val="16"/>
              </w:rPr>
              <w:t>270 790 802,00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11 418 090,00 (P4)</w:t>
            </w:r>
          </w:p>
          <w:p>
            <w:pPr>
              <w:jc w:val="right"/>
              <w:rPr>
                <w:b w:val="0"/>
                <w:sz w:val="16"/>
              </w:rPr>
            </w:pPr>
            <w:r>
              <w:rPr>
                <w:b w:val="0"/>
                <w:sz w:val="16"/>
              </w:rPr>
              <w:t>48 349 395,00 (5A)</w:t>
            </w:r>
          </w:p>
          <w:p>
            <w:pPr>
              <w:jc w:val="right"/>
              <w:rPr>
                <w:b w:val="0"/>
                <w:sz w:val="16"/>
              </w:rPr>
            </w:pPr>
            <w:r>
              <w:rPr>
                <w:b w:val="0"/>
                <w:sz w:val="16"/>
              </w:rPr>
              <w:t>147 464 727,00 (5B)</w:t>
            </w:r>
          </w:p>
          <w:p>
            <w:pPr>
              <w:jc w:val="right"/>
              <w:rPr>
                <w:b w:val="0"/>
                <w:sz w:val="16"/>
              </w:rPr>
            </w:pPr>
            <w:r>
              <w:rPr>
                <w:b w:val="0"/>
                <w:sz w:val="16"/>
              </w:rPr>
              <w:t>24 622 260,00 (5C)</w:t>
            </w:r>
          </w:p>
          <w:p>
            <w:pPr>
              <w:jc w:val="right"/>
              <w:rPr>
                <w:b w:val="0"/>
                <w:sz w:val="16"/>
              </w:rPr>
            </w:pPr>
            <w:r>
              <w:rPr>
                <w:b w:val="0"/>
                <w:sz w:val="16"/>
              </w:rPr>
              <w:t>979 995,00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72 616 861,00 (3A)</w:t>
            </w:r>
          </w:p>
          <w:p>
            <w:pPr>
              <w:jc w:val="right"/>
              <w:rPr>
                <w:b w:val="0"/>
                <w:sz w:val="16"/>
              </w:rPr>
            </w:pPr>
            <w:r>
              <w:rPr>
                <w:b w:val="0"/>
                <w:sz w:val="16"/>
              </w:rPr>
              <w:t>19 734 231,00 (P4)</w:t>
            </w:r>
          </w:p>
          <w:p>
            <w:pPr>
              <w:jc w:val="right"/>
              <w:rPr>
                <w:b w:val="0"/>
                <w:sz w:val="16"/>
              </w:rPr>
            </w:pPr>
            <w:r>
              <w:rPr>
                <w:b w:val="0"/>
                <w:sz w:val="16"/>
              </w:rPr>
              <w:t>10 000 000,00 (5A)</w:t>
            </w:r>
          </w:p>
          <w:p>
            <w:pPr>
              <w:jc w:val="right"/>
              <w:rPr>
                <w:b w:val="0"/>
                <w:sz w:val="16"/>
              </w:rPr>
            </w:pPr>
            <w:r>
              <w:rPr>
                <w:b w:val="0"/>
                <w:sz w:val="16"/>
              </w:rPr>
              <w:t>36 985 769,00 (5B)</w:t>
            </w:r>
          </w:p>
          <w:p>
            <w:pPr>
              <w:jc w:val="right"/>
              <w:rPr>
                <w:b w:val="0"/>
                <w:sz w:val="16"/>
              </w:rPr>
            </w:pPr>
            <w:r>
              <w:rPr>
                <w:b w:val="0"/>
                <w:sz w:val="16"/>
              </w:rPr>
              <w:t>10 000 000,00 (5C)</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13 000 000,00</w:t>
            </w:r>
            <w:r>
              <w:rPr>
                <w:b w:val="0"/>
                <w:sz w:val="16"/>
              </w:rPr>
              <w:br/>
            </w:r>
            <w:r>
              <w:rPr>
                <w:b w:val="0"/>
                <w:sz w:val="16"/>
              </w:rPr>
              <w:t>0,00</w:t>
            </w:r>
            <w:r>
              <w:rPr>
                <w:b w:val="0"/>
                <w:sz w:val="16"/>
              </w:rPr>
              <w:br/>
            </w:r>
            <w:r>
              <w:rPr>
                <w:b w:val="0"/>
                <w:sz w:val="16"/>
              </w:rPr>
              <w:t>13 000 000,00</w:t>
            </w:r>
          </w:p>
        </w:tc>
        <w:tc>
          <w:tcPr>
            <w:tcW w:w="2400" w:type="dxa"/>
            <w:shd w:val="clear" w:color="auto" w:fill="C0C0C0"/>
            <w:noWrap w:val="0"/>
            <w:tcMar>
              <w:top w:w="60" w:type="dxa"/>
            </w:tcMar>
            <w:vAlign w:val="top"/>
          </w:tcPr>
          <w:p>
            <w:pPr>
              <w:jc w:val="right"/>
              <w:rPr>
                <w:b w:val="0"/>
                <w:sz w:val="16"/>
              </w:rPr>
            </w:pPr>
            <w:r>
              <w:rPr>
                <w:b w:val="0"/>
                <w:sz w:val="16"/>
              </w:rPr>
              <w:t>880 467 221,00</w:t>
            </w:r>
            <w:r>
              <w:rPr>
                <w:b w:val="0"/>
                <w:sz w:val="16"/>
              </w:rPr>
              <w:br/>
            </w:r>
            <w:r>
              <w:rPr>
                <w:b w:val="0"/>
                <w:sz w:val="16"/>
              </w:rPr>
              <w:t>149 336 861,00</w:t>
            </w:r>
            <w:r>
              <w:rPr>
                <w:b w:val="0"/>
                <w:sz w:val="16"/>
              </w:rPr>
              <w:br/>
            </w:r>
            <w:r>
              <w:rPr>
                <w:b w:val="0"/>
                <w:sz w:val="16"/>
              </w:rPr>
              <w:t>1 029 804 082,00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309 554 467,00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232 834 467,00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76 720 000,00</w:t>
            </w:r>
          </w:p>
        </w:tc>
      </w:tr>
    </w:tbl>
    <w:p>
      <w:pPr>
        <w:pStyle w:val="Heading3"/>
        <w:jc w:val="left"/>
        <w:rPr>
          <w:b w:val="0"/>
        </w:rPr>
      </w:pPr>
      <w:r>
        <w:rPr>
          <w:b/>
        </w:rPr>
        <w:br w:type="page"/>
      </w:r>
      <w:bookmarkStart w:id="150" w:name="_Toc256000150"/>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50"/>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23 450 935,00 (3B)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23 450 935,00</w:t>
            </w:r>
            <w:r>
              <w:rPr>
                <w:b w:val="0"/>
                <w:sz w:val="16"/>
              </w:rPr>
              <w:br/>
            </w:r>
            <w:r>
              <w:rPr>
                <w:b w:val="0"/>
                <w:sz w:val="16"/>
              </w:rPr>
              <w:t>0,00</w:t>
            </w:r>
            <w:r>
              <w:rPr>
                <w:b w:val="0"/>
                <w:sz w:val="16"/>
              </w:rPr>
              <w:br/>
            </w:r>
            <w:r>
              <w:rPr>
                <w:b w:val="0"/>
                <w:sz w:val="16"/>
              </w:rPr>
              <w:t>23 450 935,00</w:t>
            </w:r>
          </w:p>
        </w:tc>
      </w:tr>
    </w:tbl>
    <w:p>
      <w:pPr>
        <w:pStyle w:val="Heading3"/>
        <w:jc w:val="left"/>
        <w:rPr>
          <w:b w:val="0"/>
        </w:rPr>
      </w:pPr>
      <w:r>
        <w:rPr>
          <w:b/>
        </w:rPr>
        <w:br w:type="page"/>
      </w:r>
      <w:bookmarkStart w:id="151" w:name="_Toc256000151"/>
      <w:r>
        <w:rPr>
          <w:b w:val="0"/>
        </w:rPr>
        <w:t>M06 — Развитие на стопанства и предприятия (член 19)</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1 500 000,00</w:t>
            </w:r>
          </w:p>
        </w:tc>
        <w:tc>
          <w:tcPr>
            <w:tcW w:w="2400" w:type="dxa"/>
            <w:shd w:val="clear" w:color="auto" w:fill="FFFFFF"/>
            <w:noWrap w:val="0"/>
            <w:tcMar>
              <w:top w:w="60" w:type="dxa"/>
            </w:tcMar>
            <w:vAlign w:val="top"/>
          </w:tcPr>
          <w:p>
            <w:pPr>
              <w:jc w:val="right"/>
              <w:rPr>
                <w:b w:val="0"/>
                <w:sz w:val="16"/>
              </w:rPr>
            </w:pPr>
            <w:r>
              <w:rPr>
                <w:b w:val="0"/>
                <w:sz w:val="16"/>
              </w:rPr>
              <w:t>54 353 500,00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67 597 832,00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46 868 719,00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20 000 000,00 (2A)</w:t>
            </w:r>
          </w:p>
          <w:p>
            <w:pPr>
              <w:jc w:val="right"/>
              <w:rPr>
                <w:b w:val="0"/>
                <w:sz w:val="16"/>
              </w:rPr>
            </w:pPr>
            <w:r>
              <w:rPr>
                <w:b w:val="0"/>
                <w:sz w:val="16"/>
              </w:rPr>
              <w:t>24 600 000,00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1 500 000,00</w:t>
            </w:r>
            <w:r>
              <w:rPr>
                <w:b w:val="0"/>
                <w:sz w:val="16"/>
              </w:rPr>
              <w:br/>
            </w:r>
            <w:r>
              <w:rPr>
                <w:b w:val="0"/>
                <w:sz w:val="16"/>
              </w:rPr>
              <w:t>0,00</w:t>
            </w:r>
            <w:r>
              <w:rPr>
                <w:b w:val="0"/>
                <w:sz w:val="16"/>
              </w:rPr>
              <w:br/>
            </w:r>
            <w:r>
              <w:rPr>
                <w:b w:val="0"/>
                <w:sz w:val="16"/>
              </w:rPr>
              <w:t>1 500 000,00</w:t>
            </w:r>
          </w:p>
        </w:tc>
        <w:tc>
          <w:tcPr>
            <w:tcW w:w="2400" w:type="dxa"/>
            <w:shd w:val="clear" w:color="auto" w:fill="C0C0C0"/>
            <w:noWrap w:val="0"/>
            <w:tcMar>
              <w:top w:w="60" w:type="dxa"/>
            </w:tcMar>
            <w:vAlign w:val="top"/>
          </w:tcPr>
          <w:p>
            <w:pPr>
              <w:jc w:val="right"/>
              <w:rPr>
                <w:b w:val="0"/>
                <w:sz w:val="16"/>
              </w:rPr>
            </w:pPr>
            <w:r>
              <w:rPr>
                <w:b w:val="0"/>
                <w:sz w:val="16"/>
              </w:rPr>
              <w:t>201 221 967,00</w:t>
            </w:r>
            <w:r>
              <w:rPr>
                <w:b w:val="0"/>
                <w:sz w:val="16"/>
              </w:rPr>
              <w:br/>
            </w:r>
            <w:r>
              <w:rPr>
                <w:b w:val="0"/>
                <w:sz w:val="16"/>
              </w:rPr>
              <w:t>44 600 000,00</w:t>
            </w:r>
            <w:r>
              <w:rPr>
                <w:b w:val="0"/>
                <w:sz w:val="16"/>
              </w:rPr>
              <w:br/>
            </w:r>
            <w:r>
              <w:rPr>
                <w:b w:val="0"/>
                <w:sz w:val="16"/>
              </w:rPr>
              <w:t>245 821 967,00</w:t>
            </w:r>
          </w:p>
        </w:tc>
      </w:tr>
    </w:tbl>
    <w:p>
      <w:pPr>
        <w:pStyle w:val="Heading3"/>
        <w:jc w:val="left"/>
        <w:rPr>
          <w:b w:val="0"/>
        </w:rPr>
      </w:pPr>
      <w:r>
        <w:rPr>
          <w:b/>
        </w:rPr>
        <w:br w:type="page"/>
      </w:r>
      <w:bookmarkStart w:id="152" w:name="_Toc256000152"/>
      <w:r>
        <w:rPr>
          <w:b w:val="0"/>
        </w:rPr>
        <w:t>М07 — Основни услуги и обновяване на селата в селските райони (член 20)</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515 664 011,00 (6B)</w:t>
            </w:r>
          </w:p>
          <w:p>
            <w:pPr>
              <w:jc w:val="right"/>
              <w:rPr>
                <w:b w:val="0"/>
                <w:sz w:val="16"/>
              </w:rPr>
            </w:pPr>
            <w:r>
              <w:rPr>
                <w:b w:val="0"/>
                <w:sz w:val="16"/>
              </w:rPr>
              <w:t>35 700 000,00 (6C)</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610 864 011,00</w:t>
            </w:r>
            <w:r>
              <w:rPr>
                <w:b w:val="0"/>
                <w:sz w:val="16"/>
              </w:rPr>
              <w:br/>
            </w:r>
            <w:r>
              <w:rPr>
                <w:b w:val="0"/>
                <w:sz w:val="16"/>
              </w:rPr>
              <w:t>0,00</w:t>
            </w:r>
            <w:r>
              <w:rPr>
                <w:b w:val="0"/>
                <w:sz w:val="16"/>
              </w:rPr>
              <w:br/>
            </w:r>
            <w:r>
              <w:rPr>
                <w:b w:val="0"/>
                <w:sz w:val="16"/>
              </w:rPr>
              <w:t>610 864 011,00</w:t>
            </w:r>
          </w:p>
        </w:tc>
      </w:tr>
    </w:tbl>
    <w:p>
      <w:pPr>
        <w:pStyle w:val="Heading3"/>
        <w:jc w:val="left"/>
        <w:rPr>
          <w:b w:val="0"/>
        </w:rPr>
      </w:pPr>
      <w:r>
        <w:rPr>
          <w:b/>
        </w:rPr>
        <w:br w:type="page"/>
      </w:r>
      <w:bookmarkStart w:id="153" w:name="_Toc256000153"/>
      <w:r>
        <w:rPr>
          <w:b w:val="0"/>
        </w:rPr>
        <w:t>М08 — Инвестиции в развитие на горските райони и подобряване на жизнеспособността на горите (членове 21 — 26)</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15 725 000,00 (2C+)</w:t>
            </w:r>
          </w:p>
          <w:p>
            <w:pPr>
              <w:jc w:val="right"/>
              <w:rPr>
                <w:b w:val="0"/>
                <w:sz w:val="16"/>
              </w:rPr>
            </w:pPr>
            <w:r>
              <w:rPr>
                <w:b w:val="0"/>
                <w:sz w:val="16"/>
              </w:rPr>
              <w:t>17 403 157,00 (P4)</w:t>
            </w:r>
          </w:p>
          <w:p>
            <w:pPr>
              <w:jc w:val="right"/>
              <w:rPr>
                <w:b w:val="0"/>
                <w:sz w:val="16"/>
              </w:rPr>
            </w:pPr>
            <w:r>
              <w:rPr>
                <w:b w:val="0"/>
                <w:sz w:val="16"/>
              </w:rPr>
              <w:t>2 037 500,00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1 223 334,00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36 388 991,00</w:t>
            </w:r>
            <w:r>
              <w:rPr>
                <w:b w:val="0"/>
                <w:sz w:val="16"/>
              </w:rPr>
              <w:br/>
            </w:r>
            <w:r>
              <w:rPr>
                <w:b w:val="0"/>
                <w:sz w:val="16"/>
              </w:rPr>
              <w:t>0,00</w:t>
            </w:r>
            <w:r>
              <w:rPr>
                <w:b w:val="0"/>
                <w:sz w:val="16"/>
              </w:rPr>
              <w:br/>
            </w:r>
            <w:r>
              <w:rPr>
                <w:b w:val="0"/>
                <w:sz w:val="16"/>
              </w:rPr>
              <w:t>36 388 991,00</w:t>
            </w:r>
          </w:p>
        </w:tc>
      </w:tr>
    </w:tbl>
    <w:p>
      <w:pPr>
        <w:pStyle w:val="Heading3"/>
        <w:jc w:val="left"/>
        <w:rPr>
          <w:b w:val="0"/>
        </w:rPr>
      </w:pPr>
      <w:r>
        <w:rPr>
          <w:b/>
        </w:rPr>
        <w:br w:type="page"/>
      </w:r>
      <w:bookmarkStart w:id="154" w:name="_Toc256000154"/>
      <w:r>
        <w:rPr>
          <w:b w:val="0"/>
        </w:rPr>
        <w:t>M09 — Създаване на групи и организации на производителите (член 27)</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8 384 852,00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8 384 852,00</w:t>
            </w:r>
            <w:r>
              <w:rPr>
                <w:b w:val="0"/>
                <w:sz w:val="16"/>
              </w:rPr>
              <w:br/>
            </w:r>
            <w:r>
              <w:rPr>
                <w:b w:val="0"/>
                <w:sz w:val="16"/>
              </w:rPr>
              <w:t>0,00</w:t>
            </w:r>
            <w:r>
              <w:rPr>
                <w:b w:val="0"/>
                <w:sz w:val="16"/>
              </w:rPr>
              <w:br/>
            </w:r>
            <w:r>
              <w:rPr>
                <w:b w:val="0"/>
                <w:sz w:val="16"/>
              </w:rPr>
              <w:t>8 384 852,00</w:t>
            </w:r>
          </w:p>
        </w:tc>
      </w:tr>
    </w:tbl>
    <w:p>
      <w:pPr>
        <w:pStyle w:val="Heading3"/>
        <w:jc w:val="left"/>
        <w:rPr>
          <w:b w:val="0"/>
        </w:rPr>
      </w:pPr>
      <w:r>
        <w:rPr>
          <w:b/>
        </w:rPr>
        <w:br w:type="page"/>
      </w:r>
      <w:bookmarkStart w:id="155" w:name="_Toc256000155"/>
      <w:r>
        <w:rPr>
          <w:b w:val="0"/>
        </w:rPr>
        <w:t>M10 — Агроекология и климат (член 28)</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174 022 462,00 (P4)</w:t>
            </w:r>
          </w:p>
          <w:p>
            <w:pPr>
              <w:jc w:val="right"/>
              <w:rPr>
                <w:b w:val="0"/>
                <w:sz w:val="16"/>
              </w:rPr>
            </w:pPr>
            <w:r>
              <w:rPr>
                <w:b w:val="0"/>
                <w:sz w:val="16"/>
              </w:rPr>
              <w:t>30 000 000,00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1 766 000,00 (P4)</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8 000 000,00 (P4)</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205 788 462,00</w:t>
            </w:r>
            <w:r>
              <w:rPr>
                <w:b w:val="0"/>
                <w:sz w:val="16"/>
              </w:rPr>
              <w:br/>
            </w:r>
            <w:r>
              <w:rPr>
                <w:b w:val="0"/>
                <w:sz w:val="16"/>
              </w:rPr>
              <w:t>8 000 000,00</w:t>
            </w:r>
            <w:r>
              <w:rPr>
                <w:b w:val="0"/>
                <w:sz w:val="16"/>
              </w:rPr>
              <w:br/>
            </w:r>
            <w:r>
              <w:rPr>
                <w:b w:val="0"/>
                <w:sz w:val="16"/>
              </w:rPr>
              <w:t>213 788 462,00</w:t>
            </w:r>
          </w:p>
        </w:tc>
      </w:tr>
    </w:tbl>
    <w:p>
      <w:pPr>
        <w:pStyle w:val="Heading3"/>
        <w:jc w:val="left"/>
        <w:rPr>
          <w:b w:val="0"/>
        </w:rPr>
      </w:pPr>
      <w:r>
        <w:rPr>
          <w:b/>
        </w:rPr>
        <w:br w:type="page"/>
      </w:r>
      <w:bookmarkStart w:id="156" w:name="_Toc256000156"/>
      <w:r>
        <w:rPr>
          <w:b w:val="0"/>
        </w:rPr>
        <w:t>М11 — Биологично земеделие (член 29)</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175 457 579,00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175 457 579,00</w:t>
            </w:r>
            <w:r>
              <w:rPr>
                <w:b w:val="0"/>
                <w:sz w:val="16"/>
              </w:rPr>
              <w:br/>
            </w:r>
            <w:r>
              <w:rPr>
                <w:b w:val="0"/>
                <w:sz w:val="16"/>
              </w:rPr>
              <w:t>0,00</w:t>
            </w:r>
            <w:r>
              <w:rPr>
                <w:b w:val="0"/>
                <w:sz w:val="16"/>
              </w:rPr>
              <w:br/>
            </w:r>
            <w:r>
              <w:rPr>
                <w:b w:val="0"/>
                <w:sz w:val="16"/>
              </w:rPr>
              <w:t>175 457 579,00</w:t>
            </w:r>
          </w:p>
        </w:tc>
      </w:tr>
    </w:tbl>
    <w:p>
      <w:pPr>
        <w:pStyle w:val="Heading3"/>
        <w:jc w:val="left"/>
        <w:rPr>
          <w:b w:val="0"/>
        </w:rPr>
      </w:pPr>
      <w:r>
        <w:rPr>
          <w:b/>
        </w:rPr>
        <w:br w:type="page"/>
      </w:r>
      <w:bookmarkStart w:id="157" w:name="_Toc256000157"/>
      <w:r>
        <w:rPr>
          <w:b w:val="0"/>
        </w:rPr>
        <w:t>M12 — Плащания по „Натура 2000“ и Рамковата директива за водите (член 30)</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153 507 028,00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153 507 028,00</w:t>
            </w:r>
            <w:r>
              <w:rPr>
                <w:b w:val="0"/>
                <w:sz w:val="16"/>
              </w:rPr>
              <w:br/>
            </w:r>
            <w:r>
              <w:rPr>
                <w:b w:val="0"/>
                <w:sz w:val="16"/>
              </w:rPr>
              <w:t>0,00</w:t>
            </w:r>
            <w:r>
              <w:rPr>
                <w:b w:val="0"/>
                <w:sz w:val="16"/>
              </w:rPr>
              <w:br/>
            </w: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8" w:name="_Toc256000158"/>
      <w:r>
        <w:rPr>
          <w:b w:val="0"/>
        </w:rPr>
        <w:t>М13 — Плащания за райони, изправени пред природни или други специфични ограничения (член 31)</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287 861 006,00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287 861 006,00</w:t>
            </w:r>
            <w:r>
              <w:rPr>
                <w:b w:val="0"/>
                <w:sz w:val="16"/>
              </w:rPr>
              <w:br/>
            </w:r>
            <w:r>
              <w:rPr>
                <w:b w:val="0"/>
                <w:sz w:val="16"/>
              </w:rPr>
              <w:t>0,00</w:t>
            </w:r>
            <w:r>
              <w:rPr>
                <w:b w:val="0"/>
                <w:sz w:val="16"/>
              </w:rPr>
              <w:br/>
            </w:r>
            <w:r>
              <w:rPr>
                <w:b w:val="0"/>
                <w:sz w:val="16"/>
              </w:rPr>
              <w:t>287 861 006,00</w:t>
            </w:r>
          </w:p>
        </w:tc>
      </w:tr>
    </w:tbl>
    <w:p>
      <w:pPr>
        <w:pStyle w:val="Heading3"/>
        <w:jc w:val="left"/>
        <w:rPr>
          <w:b w:val="0"/>
        </w:rPr>
      </w:pPr>
      <w:r>
        <w:rPr>
          <w:b/>
        </w:rPr>
        <w:br w:type="page"/>
      </w:r>
      <w:bookmarkStart w:id="159" w:name="_Toc256000159"/>
      <w:r>
        <w:rPr>
          <w:b w:val="0"/>
        </w:rPr>
        <w:t>M14 — Хуманно отношение към животните (член 33)</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21 081 806,00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21 081 806,00</w:t>
            </w:r>
            <w:r>
              <w:rPr>
                <w:b w:val="0"/>
                <w:sz w:val="16"/>
              </w:rPr>
              <w:br/>
            </w:r>
            <w:r>
              <w:rPr>
                <w:b w:val="0"/>
                <w:sz w:val="16"/>
              </w:rPr>
              <w:t>0,00</w:t>
            </w:r>
            <w:r>
              <w:rPr>
                <w:b w:val="0"/>
                <w:sz w:val="16"/>
              </w:rPr>
              <w:br/>
            </w:r>
            <w:r>
              <w:rPr>
                <w:b w:val="0"/>
                <w:sz w:val="16"/>
              </w:rPr>
              <w:t>21 081 806,00</w:t>
            </w:r>
          </w:p>
        </w:tc>
      </w:tr>
    </w:tbl>
    <w:p>
      <w:pPr>
        <w:pStyle w:val="Heading3"/>
        <w:jc w:val="left"/>
        <w:rPr>
          <w:b w:val="0"/>
        </w:rPr>
      </w:pPr>
      <w:r>
        <w:rPr>
          <w:b/>
        </w:rPr>
        <w:br w:type="page"/>
      </w:r>
      <w:bookmarkStart w:id="160" w:name="_Toc256000160"/>
      <w:r>
        <w:rPr>
          <w:b w:val="0"/>
        </w:rPr>
        <w:t>M16 — Сътрудничество (член 35)</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12 950 000,00 (2A)</w:t>
            </w:r>
          </w:p>
          <w:p>
            <w:pPr>
              <w:jc w:val="right"/>
              <w:rPr>
                <w:b w:val="0"/>
                <w:sz w:val="16"/>
              </w:rPr>
            </w:pPr>
            <w:r>
              <w:rPr>
                <w:b w:val="0"/>
                <w:sz w:val="16"/>
              </w:rPr>
              <w:t>1 850 000,00 (3A)</w:t>
            </w:r>
          </w:p>
          <w:p>
            <w:pPr>
              <w:jc w:val="right"/>
              <w:rPr>
                <w:b w:val="0"/>
                <w:sz w:val="16"/>
              </w:rPr>
            </w:pPr>
            <w:r>
              <w:rPr>
                <w:b w:val="0"/>
                <w:sz w:val="16"/>
              </w:rPr>
              <w:t>5 400 000,00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25 200 000,00</w:t>
            </w:r>
            <w:r>
              <w:rPr>
                <w:b w:val="0"/>
                <w:sz w:val="16"/>
              </w:rPr>
              <w:br/>
            </w:r>
            <w:r>
              <w:rPr>
                <w:b w:val="0"/>
                <w:sz w:val="16"/>
              </w:rPr>
              <w:t>0,00</w:t>
            </w:r>
            <w:r>
              <w:rPr>
                <w:b w:val="0"/>
                <w:sz w:val="16"/>
              </w:rPr>
              <w:br/>
            </w:r>
            <w:r>
              <w:rPr>
                <w:b w:val="0"/>
                <w:sz w:val="16"/>
              </w:rPr>
              <w:t>25 200 000,00</w:t>
            </w:r>
          </w:p>
        </w:tc>
      </w:tr>
    </w:tbl>
    <w:p>
      <w:pPr>
        <w:pStyle w:val="Heading3"/>
        <w:jc w:val="left"/>
        <w:rPr>
          <w:b w:val="0"/>
        </w:rPr>
      </w:pPr>
      <w:r>
        <w:rPr>
          <w:b/>
        </w:rPr>
        <w:br w:type="page"/>
      </w:r>
      <w:bookmarkStart w:id="161" w:name="_Toc256000161"/>
      <w:r>
        <w:rPr>
          <w:b w:val="0"/>
        </w:rPr>
        <w:t>M19 — Подкрепа за местно развитие по LEADER (ВОМР — водено от общностите местно развитие) (член 35 от Регламент (ЕС) № 1303/2013)</w:t>
      </w:r>
      <w:bookmarkEnd w:id="1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2 500 000,00</w:t>
            </w:r>
          </w:p>
        </w:tc>
        <w:tc>
          <w:tcPr>
            <w:tcW w:w="2400" w:type="dxa"/>
            <w:shd w:val="clear" w:color="auto" w:fill="FFFFFF"/>
            <w:noWrap w:val="0"/>
            <w:tcMar>
              <w:top w:w="60" w:type="dxa"/>
            </w:tcMar>
            <w:vAlign w:val="top"/>
          </w:tcPr>
          <w:p>
            <w:pPr>
              <w:jc w:val="right"/>
              <w:rPr>
                <w:b w:val="0"/>
                <w:sz w:val="16"/>
              </w:rPr>
            </w:pPr>
            <w:r>
              <w:rPr>
                <w:b w:val="0"/>
                <w:sz w:val="16"/>
              </w:rPr>
              <w:t>152 173 496,00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100 000,00 (6B)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2 500 000,00</w:t>
            </w:r>
            <w:r>
              <w:rPr>
                <w:b w:val="0"/>
                <w:sz w:val="16"/>
              </w:rPr>
              <w:br/>
            </w:r>
            <w:r>
              <w:rPr>
                <w:b w:val="0"/>
                <w:sz w:val="16"/>
              </w:rPr>
              <w:t>0,00</w:t>
            </w:r>
            <w:r>
              <w:rPr>
                <w:b w:val="0"/>
                <w:sz w:val="16"/>
              </w:rPr>
              <w:br/>
            </w:r>
            <w:r>
              <w:rPr>
                <w:b w:val="0"/>
                <w:sz w:val="16"/>
              </w:rPr>
              <w:t>2 500 000,00</w:t>
            </w:r>
          </w:p>
        </w:tc>
        <w:tc>
          <w:tcPr>
            <w:tcW w:w="2400" w:type="dxa"/>
            <w:shd w:val="clear" w:color="auto" w:fill="C0C0C0"/>
            <w:noWrap w:val="0"/>
            <w:tcMar>
              <w:top w:w="60" w:type="dxa"/>
            </w:tcMar>
            <w:vAlign w:val="top"/>
          </w:tcPr>
          <w:p>
            <w:pPr>
              <w:jc w:val="right"/>
              <w:rPr>
                <w:b w:val="0"/>
                <w:sz w:val="16"/>
              </w:rPr>
            </w:pPr>
            <w:r>
              <w:rPr>
                <w:b w:val="0"/>
                <w:sz w:val="16"/>
              </w:rPr>
              <w:t>152 273 496,00</w:t>
            </w:r>
            <w:r>
              <w:rPr>
                <w:b w:val="0"/>
                <w:sz w:val="16"/>
              </w:rPr>
              <w:br/>
            </w:r>
            <w:r>
              <w:rPr>
                <w:b w:val="0"/>
                <w:sz w:val="16"/>
              </w:rPr>
              <w:t>0,00</w:t>
            </w:r>
            <w:r>
              <w:rPr>
                <w:b w:val="0"/>
                <w:sz w:val="16"/>
              </w:rPr>
              <w:br/>
            </w:r>
            <w:r>
              <w:rPr>
                <w:b w:val="0"/>
                <w:sz w:val="16"/>
              </w:rPr>
              <w:t>152 273 496,00</w:t>
            </w:r>
          </w:p>
        </w:tc>
      </w:tr>
    </w:tbl>
    <w:p>
      <w:pPr>
        <w:pStyle w:val="Heading3"/>
        <w:jc w:val="left"/>
        <w:rPr>
          <w:b w:val="0"/>
        </w:rPr>
      </w:pPr>
      <w:r>
        <w:rPr>
          <w:b/>
        </w:rPr>
        <w:br w:type="page"/>
      </w:r>
      <w:bookmarkStart w:id="162" w:name="_Toc256000162"/>
      <w:r>
        <w:rPr>
          <w:b w:val="0"/>
        </w:rPr>
        <w:t>М20 — Техническа помощ държави членки (членове 51 — 54)</w:t>
      </w:r>
      <w:bookmarkEnd w:id="1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47 156 074,00</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47 156 074,00</w:t>
            </w:r>
            <w:r>
              <w:rPr>
                <w:b w:val="0"/>
                <w:sz w:val="16"/>
              </w:rPr>
              <w:br/>
            </w:r>
            <w:r>
              <w:rPr>
                <w:b w:val="0"/>
                <w:sz w:val="16"/>
              </w:rPr>
              <w:t>0,00</w:t>
            </w:r>
            <w:r>
              <w:rPr>
                <w:b w:val="0"/>
                <w:sz w:val="16"/>
              </w:rPr>
              <w:br/>
            </w:r>
            <w:r>
              <w:rPr>
                <w:b w:val="0"/>
                <w:sz w:val="16"/>
              </w:rPr>
              <w:t>47 156 074,00</w:t>
            </w:r>
          </w:p>
        </w:tc>
      </w:tr>
    </w:tbl>
    <w:p>
      <w:pPr>
        <w:pStyle w:val="Heading3"/>
        <w:jc w:val="left"/>
        <w:rPr>
          <w:b w:val="0"/>
        </w:rPr>
      </w:pPr>
      <w:r>
        <w:rPr>
          <w:b/>
        </w:rPr>
        <w:br w:type="page"/>
      </w:r>
      <w:bookmarkStart w:id="163" w:name="_Toc25600016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6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32 501 864,00 (2A)</w:t>
            </w:r>
          </w:p>
          <w:p>
            <w:pPr>
              <w:jc w:val="right"/>
              <w:rPr>
                <w:b w:val="0"/>
                <w:sz w:val="16"/>
              </w:rPr>
            </w:pPr>
            <w:r>
              <w:rPr>
                <w:b w:val="0"/>
                <w:sz w:val="16"/>
              </w:rPr>
              <w:t>3 298 304,00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35 800 168,00</w:t>
            </w:r>
            <w:r>
              <w:rPr>
                <w:b w:val="0"/>
                <w:sz w:val="16"/>
              </w:rPr>
              <w:br/>
            </w:r>
            <w:r>
              <w:rPr>
                <w:b w:val="0"/>
                <w:sz w:val="16"/>
              </w:rPr>
              <w:t>0,00</w:t>
            </w:r>
            <w:r>
              <w:rPr>
                <w:b w:val="0"/>
                <w:sz w:val="16"/>
              </w:rPr>
              <w:br/>
            </w:r>
            <w:r>
              <w:rPr>
                <w:b w:val="0"/>
                <w:sz w:val="16"/>
              </w:rPr>
              <w:t>35 800 168,00</w:t>
            </w:r>
          </w:p>
        </w:tc>
      </w:tr>
    </w:tbl>
    <w:p>
      <w:pPr>
        <w:pStyle w:val="Heading3"/>
        <w:jc w:val="left"/>
        <w:rPr>
          <w:b w:val="0"/>
        </w:rPr>
      </w:pPr>
      <w:r>
        <w:rPr>
          <w:b/>
        </w:rPr>
        <w:br w:type="page"/>
      </w:r>
      <w:bookmarkStart w:id="164" w:name="_Toc256000164"/>
      <w:r>
        <w:rPr>
          <w:b w:val="0"/>
        </w:rPr>
        <w:t>M22 - Exceptional temporary support to farmers and SMEs particularly affected by the impact of Russia's invasion of Ukraine (art 39b)</w:t>
      </w:r>
      <w:bookmarkEnd w:id="16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от Съюза 2014 — 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23 800 000,00 (2A)</w:t>
            </w:r>
          </w:p>
          <w:p>
            <w:pPr>
              <w:jc w:val="right"/>
              <w:rPr>
                <w:b w:val="0"/>
                <w:sz w:val="16"/>
              </w:rPr>
            </w:pPr>
            <w:r>
              <w:rPr>
                <w:b w:val="0"/>
                <w:sz w:val="16"/>
              </w:rPr>
              <w:t>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23 800 000,00</w:t>
            </w:r>
            <w:r>
              <w:rPr>
                <w:b w:val="0"/>
                <w:sz w:val="16"/>
              </w:rPr>
              <w:br/>
            </w:r>
            <w:r>
              <w:rPr>
                <w:b w:val="0"/>
                <w:sz w:val="16"/>
              </w:rPr>
              <w:t>0,00</w:t>
            </w:r>
            <w:r>
              <w:rPr>
                <w:b w:val="0"/>
                <w:sz w:val="16"/>
              </w:rPr>
              <w:br/>
            </w:r>
            <w:r>
              <w:rPr>
                <w:b w:val="0"/>
                <w:sz w:val="16"/>
              </w:rPr>
              <w:t>23 800 000,00</w:t>
            </w:r>
          </w:p>
        </w:tc>
      </w:tr>
    </w:tbl>
    <w:p>
      <w:pPr>
        <w:rPr>
          <w:b/>
        </w:rPr>
        <w:sectPr>
          <w:pgSz w:w="15840" w:h="12240" w:orient="landscape"/>
          <w:pgMar w:top="900" w:right="900" w:bottom="900" w:left="900" w:header="720" w:footer="720"/>
          <w:cols w:space="720"/>
        </w:sectPr>
      </w:pPr>
    </w:p>
    <w:p>
      <w:pPr>
        <w:pStyle w:val="Heading2"/>
      </w:pPr>
      <w:bookmarkStart w:id="165" w:name="_Toc256000165"/>
      <w:r>
        <w:t>Ориентировъчна разбивка по мярка за всяка подпрограма</w:t>
      </w:r>
      <w:bookmarkEnd w:id="1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400" w:type="dxa"/>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2400" w:type="dxa"/>
            <w:shd w:val="clear" w:color="auto" w:fill="C0C0C0"/>
            <w:noWrap w:val="0"/>
            <w:tcMar>
              <w:top w:w="60" w:type="dxa"/>
            </w:tcMar>
            <w:vAlign w:val="top"/>
          </w:tcPr>
          <w:p>
            <w:pPr>
              <w:jc w:val="center"/>
              <w:rPr>
                <w:b w:val="0"/>
                <w:sz w:val="16"/>
              </w:rPr>
            </w:pPr>
            <w:r>
              <w:rPr>
                <w:b w:val="0"/>
                <w:sz w:val="16"/>
              </w:rPr>
              <w:t>Мярка</w:t>
            </w:r>
          </w:p>
        </w:tc>
        <w:tc>
          <w:tcPr>
            <w:tcW w:w="2400" w:type="dxa"/>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2014—2022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14 937 966,00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4 760 000,00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78 822 416,00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M22 - Exceptional temporary support to farmers and SMEs particularly affected by the impact of Russia's invasion of Ukraine (art 39b)</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6" w:name="_Toc256000166"/>
      <w:r>
        <w:t>План на показателите</w:t>
      </w:r>
      <w:bookmarkEnd w:id="166"/>
    </w:p>
    <w:p>
      <w:pPr>
        <w:pStyle w:val="Heading2"/>
      </w:pPr>
      <w:bookmarkStart w:id="167" w:name="_Toc256000167"/>
      <w:r>
        <w:t>План на показателите</w:t>
      </w:r>
      <w:bookmarkEnd w:id="167"/>
    </w:p>
    <w:p>
      <w:pPr>
        <w:pStyle w:val="Heading3"/>
        <w:jc w:val="left"/>
        <w:rPr>
          <w:b w:val="0"/>
        </w:rPr>
      </w:pPr>
      <w:bookmarkStart w:id="168" w:name="_Toc256000168"/>
      <w:r>
        <w:rPr>
          <w:b w:val="0"/>
        </w:rPr>
        <w:t>P1: Стимулиране на трансфера на знания и иновациите в областта на селското и горското стопанство и селските райони</w:t>
      </w:r>
      <w:bookmarkEnd w:id="168"/>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2,41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2 895 255 368,00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69 892 086,72</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22 999 999,40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20 828 609,50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28 000 000,10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750" w:type="pct"/>
            <w:shd w:val="clear" w:color="auto" w:fill="FFFFFF"/>
            <w:noWrap w:val="0"/>
            <w:tcMar>
              <w:top w:w="60" w:type="dxa"/>
            </w:tcMar>
            <w:vAlign w:val="center"/>
          </w:tcPr>
          <w:p>
            <w:pPr>
              <w:spacing w:before="20" w:after="20"/>
              <w:jc w:val="right"/>
              <w:rPr>
                <w:b w:val="0"/>
                <w:sz w:val="16"/>
              </w:rPr>
            </w:pPr>
            <w:r>
              <w:rPr>
                <w:b w:val="0"/>
                <w:sz w:val="16"/>
              </w:rPr>
              <w:t>20,00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750" w:type="pct"/>
            <w:shd w:val="clear" w:color="auto" w:fill="FFFFFF"/>
            <w:noWrap w:val="0"/>
            <w:tcMar>
              <w:top w:w="60" w:type="dxa"/>
            </w:tcMar>
            <w:vAlign w:val="center"/>
          </w:tcPr>
          <w:p>
            <w:pPr>
              <w:spacing w:before="20" w:after="20"/>
              <w:jc w:val="right"/>
              <w:rPr>
                <w:b w:val="0"/>
                <w:sz w:val="16"/>
              </w:rPr>
            </w:pPr>
            <w:r>
              <w:rPr>
                <w:b w:val="0"/>
                <w:sz w:val="16"/>
              </w:rPr>
              <w:t>450,00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4 800,00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69" w:name="_Toc256000169"/>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9"/>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0,54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4 000 000,00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8 460,00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9 595 431,80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750" w:type="pct"/>
            <w:shd w:val="clear" w:color="auto" w:fill="FFFFFF"/>
            <w:noWrap w:val="0"/>
            <w:tcMar>
              <w:top w:w="60" w:type="dxa"/>
            </w:tcMar>
            <w:vAlign w:val="center"/>
          </w:tcPr>
          <w:p>
            <w:pPr>
              <w:spacing w:before="20" w:after="20"/>
              <w:jc w:val="right"/>
              <w:rPr>
                <w:b w:val="0"/>
                <w:sz w:val="16"/>
              </w:rPr>
            </w:pPr>
            <w:r>
              <w:rPr>
                <w:b w:val="0"/>
                <w:sz w:val="16"/>
              </w:rPr>
              <w:t>29 965 859,90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559 165 890,30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750" w:type="pct"/>
            <w:shd w:val="clear" w:color="auto" w:fill="FFFFFF"/>
            <w:noWrap w:val="0"/>
            <w:tcMar>
              <w:top w:w="60" w:type="dxa"/>
            </w:tcMar>
            <w:vAlign w:val="center"/>
          </w:tcPr>
          <w:p>
            <w:pPr>
              <w:spacing w:before="20" w:after="20"/>
              <w:jc w:val="right"/>
              <w:rPr>
                <w:b w:val="0"/>
                <w:sz w:val="16"/>
              </w:rPr>
            </w:pPr>
            <w:r>
              <w:rPr>
                <w:b w:val="0"/>
                <w:sz w:val="16"/>
              </w:rPr>
              <w:t>359 290 503,70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359 290 503,70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750" w:type="pct"/>
            <w:shd w:val="clear" w:color="auto" w:fill="FFFFFF"/>
            <w:noWrap w:val="0"/>
            <w:tcMar>
              <w:top w:w="60" w:type="dxa"/>
            </w:tcMar>
            <w:vAlign w:val="center"/>
          </w:tcPr>
          <w:p>
            <w:pPr>
              <w:spacing w:before="20" w:after="20"/>
              <w:jc w:val="right"/>
              <w:rPr>
                <w:b w:val="0"/>
                <w:sz w:val="16"/>
              </w:rPr>
            </w:pPr>
            <w:r>
              <w:rPr>
                <w:b w:val="0"/>
                <w:sz w:val="16"/>
              </w:rPr>
              <w:t>4 400,00</w:t>
            </w:r>
          </w:p>
        </w:tc>
        <w:tc>
          <w:tcPr>
            <w:tcW w:w="750" w:type="pct"/>
            <w:shd w:val="clear" w:color="auto" w:fill="FFFFFF"/>
            <w:noWrap w:val="0"/>
            <w:tcMar>
              <w:top w:w="60" w:type="dxa"/>
            </w:tcMar>
            <w:vAlign w:val="center"/>
          </w:tcPr>
          <w:p>
            <w:pPr>
              <w:spacing w:before="20" w:after="20"/>
              <w:jc w:val="right"/>
              <w:rPr>
                <w:b w:val="0"/>
                <w:sz w:val="16"/>
              </w:rPr>
            </w:pPr>
            <w:r>
              <w:rPr>
                <w:b w:val="0"/>
                <w:sz w:val="16"/>
              </w:rPr>
              <w:t>1 300,00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83 945 294,10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83 945 294,10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14 388 889,00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44 461 947,40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Exceptional temporary support to farmers and SMEs particularly affected by the impact of Russia's invasion of Ukraine (art 39b)</w:t>
            </w:r>
          </w:p>
        </w:tc>
        <w:tc>
          <w:tcPr>
            <w:tcW w:w="1750" w:type="pct"/>
            <w:shd w:val="clear" w:color="auto" w:fill="FFFFFF"/>
            <w:noWrap w:val="0"/>
            <w:tcMar>
              <w:top w:w="60" w:type="dxa"/>
            </w:tcMar>
            <w:vAlign w:val="center"/>
          </w:tcPr>
          <w:p>
            <w:pPr>
              <w:spacing w:before="20" w:after="20"/>
              <w:jc w:val="left"/>
              <w:rPr>
                <w:b w:val="0"/>
                <w:sz w:val="16"/>
              </w:rPr>
            </w:pPr>
            <w:r>
              <w:rPr>
                <w:b w:val="0"/>
                <w:sz w:val="16"/>
              </w:rPr>
              <w:t>Total public expenditure €</w:t>
            </w:r>
          </w:p>
        </w:tc>
        <w:tc>
          <w:tcPr>
            <w:tcW w:w="750" w:type="pct"/>
            <w:shd w:val="clear" w:color="auto" w:fill="FFFFFF"/>
            <w:noWrap w:val="0"/>
            <w:tcMar>
              <w:top w:w="60" w:type="dxa"/>
            </w:tcMar>
            <w:vAlign w:val="center"/>
          </w:tcPr>
          <w:p>
            <w:pPr>
              <w:spacing w:before="20" w:after="20"/>
              <w:jc w:val="right"/>
              <w:rPr>
                <w:b w:val="0"/>
                <w:sz w:val="16"/>
              </w:rPr>
            </w:pPr>
            <w:r>
              <w:rPr>
                <w:b w:val="0"/>
                <w:sz w:val="16"/>
              </w:rPr>
              <w:t>28 000 000,00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Exceptional temporary support to farmers and SMEs particularly affected by the impact of Russia's invasion of Ukraine (art 39b)</w:t>
            </w:r>
          </w:p>
        </w:tc>
        <w:tc>
          <w:tcPr>
            <w:tcW w:w="1750" w:type="pct"/>
            <w:shd w:val="clear" w:color="auto" w:fill="FFFFFF"/>
            <w:noWrap w:val="0"/>
            <w:tcMar>
              <w:top w:w="60" w:type="dxa"/>
            </w:tcMar>
            <w:vAlign w:val="center"/>
          </w:tcPr>
          <w:p>
            <w:pPr>
              <w:spacing w:before="20" w:after="20"/>
              <w:jc w:val="left"/>
              <w:rPr>
                <w:b w:val="0"/>
                <w:sz w:val="16"/>
              </w:rPr>
            </w:pPr>
            <w:r>
              <w:rPr>
                <w:b w:val="0"/>
                <w:sz w:val="16"/>
              </w:rPr>
              <w:t>Nr of holdings supported</w:t>
            </w:r>
          </w:p>
        </w:tc>
        <w:tc>
          <w:tcPr>
            <w:tcW w:w="750" w:type="pct"/>
            <w:shd w:val="clear" w:color="auto" w:fill="FFFFFF"/>
            <w:noWrap w:val="0"/>
            <w:tcMar>
              <w:top w:w="60" w:type="dxa"/>
            </w:tcMar>
            <w:vAlign w:val="center"/>
          </w:tcPr>
          <w:p>
            <w:pPr>
              <w:spacing w:before="20" w:after="20"/>
              <w:jc w:val="right"/>
              <w:rPr>
                <w:b w:val="0"/>
                <w:sz w:val="16"/>
              </w:rPr>
            </w:pPr>
            <w:r>
              <w:rPr>
                <w:b w:val="0"/>
                <w:sz w:val="16"/>
              </w:rPr>
              <w:t>30 000,00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1,00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3 700,00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900,00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3 254 531,80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750" w:type="pct"/>
            <w:shd w:val="clear" w:color="auto" w:fill="FFFFFF"/>
            <w:noWrap w:val="0"/>
            <w:tcMar>
              <w:top w:w="60" w:type="dxa"/>
            </w:tcMar>
            <w:vAlign w:val="center"/>
          </w:tcPr>
          <w:p>
            <w:pPr>
              <w:spacing w:before="20" w:after="20"/>
              <w:jc w:val="right"/>
              <w:rPr>
                <w:b w:val="0"/>
                <w:sz w:val="16"/>
              </w:rPr>
            </w:pPr>
            <w:r>
              <w:rPr>
                <w:b w:val="0"/>
                <w:sz w:val="16"/>
              </w:rPr>
              <w:t>260,00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140 088 285,80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84 052 971,50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750" w:type="pct"/>
            <w:shd w:val="clear" w:color="auto" w:fill="FFFFFF"/>
            <w:noWrap w:val="0"/>
            <w:tcMar>
              <w:top w:w="60" w:type="dxa"/>
            </w:tcMar>
            <w:vAlign w:val="center"/>
          </w:tcPr>
          <w:p>
            <w:pPr>
              <w:spacing w:before="20" w:after="20"/>
              <w:jc w:val="right"/>
              <w:rPr>
                <w:b w:val="0"/>
                <w:sz w:val="16"/>
              </w:rPr>
            </w:pPr>
            <w:r>
              <w:rPr>
                <w:b w:val="0"/>
                <w:sz w:val="16"/>
              </w:rPr>
              <w:t>3 700,00</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18 500 000,00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3"/>
        <w:jc w:val="left"/>
        <w:rPr>
          <w:b w:val="0"/>
        </w:rPr>
      </w:pPr>
      <w:bookmarkStart w:id="170" w:name="_Toc256000170"/>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70"/>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0,04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145,00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3 400,00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903 715,30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750" w:type="pct"/>
            <w:shd w:val="clear" w:color="auto" w:fill="FFFFFF"/>
            <w:noWrap w:val="0"/>
            <w:tcMar>
              <w:top w:w="60" w:type="dxa"/>
            </w:tcMar>
            <w:vAlign w:val="center"/>
          </w:tcPr>
          <w:p>
            <w:pPr>
              <w:spacing w:before="20" w:after="20"/>
              <w:jc w:val="right"/>
              <w:rPr>
                <w:b w:val="0"/>
                <w:sz w:val="16"/>
              </w:rPr>
            </w:pPr>
            <w:r>
              <w:rPr>
                <w:b w:val="0"/>
                <w:sz w:val="16"/>
              </w:rPr>
              <w:t>330,00</w:t>
            </w:r>
          </w:p>
        </w:tc>
        <w:tc>
          <w:tcPr>
            <w:tcW w:w="750" w:type="pct"/>
            <w:shd w:val="clear" w:color="auto" w:fill="FFFFFF"/>
            <w:noWrap w:val="0"/>
            <w:tcMar>
              <w:top w:w="60" w:type="dxa"/>
            </w:tcMar>
            <w:vAlign w:val="center"/>
          </w:tcPr>
          <w:p>
            <w:pPr>
              <w:spacing w:before="20" w:after="20"/>
              <w:jc w:val="right"/>
              <w:rPr>
                <w:b w:val="0"/>
                <w:sz w:val="16"/>
              </w:rPr>
            </w:pPr>
            <w:r>
              <w:rPr>
                <w:b w:val="0"/>
                <w:sz w:val="16"/>
              </w:rPr>
              <w:t>110,00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782 052 716,60</w:t>
            </w:r>
          </w:p>
        </w:tc>
        <w:tc>
          <w:tcPr>
            <w:tcW w:w="750" w:type="pct"/>
            <w:shd w:val="clear" w:color="auto" w:fill="FFFFFF"/>
            <w:noWrap w:val="0"/>
            <w:tcMar>
              <w:top w:w="60" w:type="dxa"/>
            </w:tcMar>
            <w:vAlign w:val="center"/>
          </w:tcPr>
          <w:p>
            <w:pPr>
              <w:spacing w:before="20" w:after="20"/>
              <w:jc w:val="right"/>
              <w:rPr>
                <w:b w:val="0"/>
                <w:sz w:val="16"/>
              </w:rPr>
            </w:pPr>
            <w:r>
              <w:rPr>
                <w:b w:val="0"/>
                <w:sz w:val="16"/>
              </w:rPr>
              <w:t>145 233 722,00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391 194 274,90</w:t>
            </w:r>
          </w:p>
        </w:tc>
        <w:tc>
          <w:tcPr>
            <w:tcW w:w="750" w:type="pct"/>
            <w:shd w:val="clear" w:color="auto" w:fill="FFFFFF"/>
            <w:noWrap w:val="0"/>
            <w:tcMar>
              <w:top w:w="60" w:type="dxa"/>
            </w:tcMar>
            <w:vAlign w:val="center"/>
          </w:tcPr>
          <w:p>
            <w:pPr>
              <w:spacing w:before="20" w:after="20"/>
              <w:jc w:val="right"/>
              <w:rPr>
                <w:b w:val="0"/>
                <w:sz w:val="16"/>
              </w:rPr>
            </w:pPr>
            <w:r>
              <w:rPr>
                <w:b w:val="0"/>
                <w:sz w:val="16"/>
              </w:rPr>
              <w:t>72 616 861,00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5 257 548,00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5 257 548,00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750" w:type="pct"/>
            <w:shd w:val="clear" w:color="auto" w:fill="FFFFFF"/>
            <w:noWrap w:val="0"/>
            <w:tcMar>
              <w:top w:w="60" w:type="dxa"/>
            </w:tcMar>
            <w:vAlign w:val="center"/>
          </w:tcPr>
          <w:p>
            <w:pPr>
              <w:spacing w:before="20" w:after="20"/>
              <w:jc w:val="right"/>
              <w:rPr>
                <w:b w:val="0"/>
                <w:sz w:val="16"/>
              </w:rPr>
            </w:pPr>
            <w:r>
              <w:rPr>
                <w:b w:val="0"/>
                <w:sz w:val="16"/>
              </w:rPr>
              <w:t>40,00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750" w:type="pct"/>
            <w:shd w:val="clear" w:color="auto" w:fill="FFFFFF"/>
            <w:noWrap w:val="0"/>
            <w:tcMar>
              <w:top w:w="60" w:type="dxa"/>
            </w:tcMar>
            <w:vAlign w:val="center"/>
          </w:tcPr>
          <w:p>
            <w:pPr>
              <w:spacing w:before="20" w:after="20"/>
              <w:jc w:val="right"/>
              <w:rPr>
                <w:b w:val="0"/>
                <w:sz w:val="16"/>
              </w:rPr>
            </w:pPr>
            <w:r>
              <w:rPr>
                <w:b w:val="0"/>
                <w:sz w:val="16"/>
              </w:rPr>
              <w:t>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9 316 502,00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750" w:type="pct"/>
            <w:shd w:val="clear" w:color="auto" w:fill="FFFFFF"/>
            <w:noWrap w:val="0"/>
            <w:tcMar>
              <w:top w:w="60" w:type="dxa"/>
            </w:tcMar>
            <w:vAlign w:val="center"/>
          </w:tcPr>
          <w:p>
            <w:pPr>
              <w:spacing w:before="20" w:after="20"/>
              <w:jc w:val="right"/>
              <w:rPr>
                <w:b w:val="0"/>
                <w:sz w:val="16"/>
              </w:rPr>
            </w:pPr>
            <w:r>
              <w:rPr>
                <w:b w:val="0"/>
                <w:sz w:val="16"/>
              </w:rPr>
              <w:t>600,00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24 802 124,70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2 055 555,60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469 715,30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750" w:type="pct"/>
            <w:shd w:val="clear" w:color="auto" w:fill="FFFFFF"/>
            <w:noWrap w:val="0"/>
            <w:tcMar>
              <w:top w:w="60" w:type="dxa"/>
            </w:tcMar>
            <w:vAlign w:val="center"/>
          </w:tcPr>
          <w:p>
            <w:pPr>
              <w:spacing w:before="20" w:after="20"/>
              <w:jc w:val="right"/>
              <w:rPr>
                <w:b w:val="0"/>
                <w:sz w:val="16"/>
              </w:rPr>
            </w:pPr>
            <w:r>
              <w:rPr>
                <w:b w:val="0"/>
                <w:sz w:val="16"/>
              </w:rPr>
              <w:t>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750" w:type="pct"/>
            <w:shd w:val="clear" w:color="auto" w:fill="FFFFFF"/>
            <w:noWrap w:val="0"/>
            <w:tcMar>
              <w:top w:w="60" w:type="dxa"/>
            </w:tcMar>
            <w:vAlign w:val="center"/>
          </w:tcPr>
          <w:p>
            <w:pPr>
              <w:spacing w:before="20" w:after="20"/>
              <w:jc w:val="right"/>
              <w:rPr>
                <w:b w:val="0"/>
                <w:sz w:val="16"/>
              </w:rPr>
            </w:pPr>
            <w:r>
              <w:rPr>
                <w:b w:val="0"/>
                <w:sz w:val="16"/>
              </w:rPr>
              <w:t>27 589 337,00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750" w:type="pct"/>
            <w:shd w:val="clear" w:color="auto" w:fill="FFFFFF"/>
            <w:noWrap w:val="0"/>
            <w:tcMar>
              <w:top w:w="60" w:type="dxa"/>
            </w:tcMar>
            <w:vAlign w:val="center"/>
          </w:tcPr>
          <w:p>
            <w:pPr>
              <w:spacing w:before="20" w:after="20"/>
              <w:jc w:val="right"/>
              <w:rPr>
                <w:b w:val="0"/>
                <w:sz w:val="16"/>
              </w:rPr>
            </w:pPr>
            <w:r>
              <w:rPr>
                <w:b w:val="0"/>
                <w:sz w:val="16"/>
              </w:rPr>
              <w:t>27 589 337,00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1" w:name="_Toc256000171"/>
      <w:r>
        <w:rPr>
          <w:b w:val="0"/>
        </w:rPr>
        <w:t>P4: Възстановяване, опазване и укрепване на екосистемите, свързани със селското и горското стопанство</w:t>
      </w:r>
      <w:bookmarkEnd w:id="171"/>
    </w:p>
    <w:p>
      <w:pPr>
        <w:rPr>
          <w:b/>
          <w:i/>
        </w:rPr>
      </w:pPr>
      <w:r>
        <w:rPr>
          <w:b/>
          <w:i/>
        </w:rPr>
        <w:t>Селско стопанство</w:t>
      </w: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3 505 404,40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2 313 178,80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750" w:type="pct"/>
            <w:shd w:val="clear" w:color="auto" w:fill="FFFFFF"/>
            <w:noWrap w:val="0"/>
            <w:tcMar>
              <w:top w:w="60" w:type="dxa"/>
            </w:tcMar>
            <w:vAlign w:val="center"/>
          </w:tcPr>
          <w:p>
            <w:pPr>
              <w:spacing w:before="20" w:after="20"/>
              <w:jc w:val="right"/>
              <w:rPr>
                <w:b w:val="0"/>
                <w:sz w:val="16"/>
              </w:rPr>
            </w:pPr>
            <w:r>
              <w:rPr>
                <w:b w:val="0"/>
                <w:sz w:val="16"/>
              </w:rPr>
              <w:t>280,00</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58 263 917,20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34 958 350,30</w:t>
            </w:r>
          </w:p>
        </w:tc>
        <w:tc>
          <w:tcPr>
            <w:tcW w:w="750" w:type="pct"/>
            <w:shd w:val="clear" w:color="auto" w:fill="FFFFFF"/>
            <w:noWrap w:val="0"/>
            <w:tcMar>
              <w:top w:w="60" w:type="dxa"/>
            </w:tcMar>
            <w:vAlign w:val="center"/>
          </w:tcPr>
          <w:p>
            <w:pPr>
              <w:spacing w:before="20" w:after="20"/>
              <w:jc w:val="right"/>
              <w:rPr>
                <w:b w:val="0"/>
                <w:sz w:val="16"/>
              </w:rPr>
            </w:pPr>
            <w:r>
              <w:rPr>
                <w:b w:val="0"/>
                <w:sz w:val="16"/>
              </w:rPr>
              <w:t>19 734 231,00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750" w:type="pct"/>
            <w:shd w:val="clear" w:color="auto" w:fill="FFFFFF"/>
            <w:noWrap w:val="0"/>
            <w:tcMar>
              <w:top w:w="60" w:type="dxa"/>
            </w:tcMar>
            <w:vAlign w:val="center"/>
          </w:tcPr>
          <w:p>
            <w:pPr>
              <w:spacing w:before="20" w:after="20"/>
              <w:jc w:val="right"/>
              <w:rPr>
                <w:b w:val="0"/>
                <w:sz w:val="16"/>
              </w:rPr>
            </w:pPr>
            <w:r>
              <w:rPr>
                <w:b w:val="0"/>
                <w:sz w:val="16"/>
              </w:rPr>
              <w:t>113 000,00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242 384 616,00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750" w:type="pct"/>
            <w:shd w:val="clear" w:color="auto" w:fill="FFFFFF"/>
            <w:noWrap w:val="0"/>
            <w:tcMar>
              <w:top w:w="60" w:type="dxa"/>
            </w:tcMar>
            <w:vAlign w:val="center"/>
          </w:tcPr>
          <w:p>
            <w:pPr>
              <w:spacing w:before="20" w:after="20"/>
              <w:jc w:val="right"/>
              <w:rPr>
                <w:b w:val="0"/>
                <w:sz w:val="16"/>
              </w:rPr>
            </w:pPr>
            <w:r>
              <w:rPr>
                <w:b w:val="0"/>
                <w:sz w:val="16"/>
              </w:rPr>
              <w:t>23 000,00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233 943 439,00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750" w:type="pct"/>
            <w:shd w:val="clear" w:color="auto" w:fill="FFFFFF"/>
            <w:noWrap w:val="0"/>
            <w:tcMar>
              <w:top w:w="60" w:type="dxa"/>
            </w:tcMar>
            <w:vAlign w:val="center"/>
          </w:tcPr>
          <w:p>
            <w:pPr>
              <w:spacing w:before="20" w:after="20"/>
              <w:jc w:val="right"/>
              <w:rPr>
                <w:b w:val="0"/>
                <w:sz w:val="16"/>
              </w:rPr>
            </w:pPr>
            <w:r>
              <w:rPr>
                <w:b w:val="0"/>
                <w:sz w:val="16"/>
              </w:rPr>
              <w:t>385 000,00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750" w:type="pct"/>
            <w:shd w:val="clear" w:color="auto" w:fill="FFFFFF"/>
            <w:noWrap w:val="0"/>
            <w:tcMar>
              <w:top w:w="60" w:type="dxa"/>
            </w:tcMar>
            <w:vAlign w:val="center"/>
          </w:tcPr>
          <w:p>
            <w:pPr>
              <w:spacing w:before="20" w:after="20"/>
              <w:jc w:val="right"/>
              <w:rPr>
                <w:b w:val="0"/>
                <w:sz w:val="16"/>
              </w:rPr>
            </w:pPr>
            <w:r>
              <w:rPr>
                <w:b w:val="0"/>
                <w:sz w:val="16"/>
              </w:rPr>
              <w:t>60 000,00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202 805 011,00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750" w:type="pct"/>
            <w:shd w:val="clear" w:color="auto" w:fill="FFFFFF"/>
            <w:noWrap w:val="0"/>
            <w:tcMar>
              <w:top w:w="60" w:type="dxa"/>
            </w:tcMar>
            <w:vAlign w:val="center"/>
          </w:tcPr>
          <w:p>
            <w:pPr>
              <w:spacing w:before="20" w:after="20"/>
              <w:jc w:val="right"/>
              <w:rPr>
                <w:b w:val="0"/>
                <w:sz w:val="16"/>
              </w:rPr>
            </w:pPr>
            <w:r>
              <w:rPr>
                <w:b w:val="0"/>
                <w:sz w:val="16"/>
              </w:rPr>
              <w:t>310 000,00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750" w:type="pct"/>
            <w:shd w:val="clear" w:color="auto" w:fill="FFFFFF"/>
            <w:noWrap w:val="0"/>
            <w:tcMar>
              <w:top w:w="60" w:type="dxa"/>
            </w:tcMar>
            <w:vAlign w:val="center"/>
          </w:tcPr>
          <w:p>
            <w:pPr>
              <w:spacing w:before="20" w:after="20"/>
              <w:jc w:val="right"/>
              <w:rPr>
                <w:b w:val="0"/>
                <w:sz w:val="16"/>
              </w:rPr>
            </w:pPr>
            <w:r>
              <w:rPr>
                <w:b w:val="0"/>
                <w:sz w:val="16"/>
              </w:rPr>
              <w:t>220 000,00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383 814 675,00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6 000 000,00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rPr>
          <w:b/>
          <w:i/>
        </w:rPr>
      </w:pPr>
      <w:r>
        <w:rPr>
          <w:b/>
          <w:i/>
        </w:rPr>
        <w:t>Горско стопанство</w:t>
      </w: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20 474 302,40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1 871 026,70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0,25</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2,66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72" w:name="_Toc256000172"/>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72"/>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400 000,00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4 000 000,00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760,00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348 412,90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750" w:type="pct"/>
            <w:shd w:val="clear" w:color="auto" w:fill="FFFFFF"/>
            <w:noWrap w:val="0"/>
            <w:tcMar>
              <w:top w:w="60" w:type="dxa"/>
            </w:tcMar>
            <w:vAlign w:val="center"/>
          </w:tcPr>
          <w:p>
            <w:pPr>
              <w:spacing w:before="20" w:after="20"/>
              <w:jc w:val="right"/>
              <w:rPr>
                <w:b w:val="0"/>
                <w:sz w:val="16"/>
              </w:rPr>
            </w:pPr>
            <w:r>
              <w:rPr>
                <w:b w:val="0"/>
                <w:sz w:val="16"/>
              </w:rPr>
              <w:t>35 000,00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74 465 860,00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74 465 860,00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419 024 651,40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2 550 000,00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1 050,00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500,00</w:t>
            </w:r>
          </w:p>
        </w:tc>
        <w:tc>
          <w:tcPr>
            <w:tcW w:w="750" w:type="pct"/>
            <w:shd w:val="clear" w:color="auto" w:fill="FFFFFF"/>
            <w:noWrap w:val="0"/>
            <w:tcMar>
              <w:top w:w="60" w:type="dxa"/>
            </w:tcMar>
            <w:vAlign w:val="center"/>
          </w:tcPr>
          <w:p>
            <w:pPr>
              <w:spacing w:before="20" w:after="20"/>
              <w:jc w:val="right"/>
              <w:rPr>
                <w:b w:val="0"/>
                <w:sz w:val="16"/>
              </w:rPr>
            </w:pPr>
            <w:r>
              <w:rPr>
                <w:b w:val="0"/>
                <w:sz w:val="16"/>
              </w:rPr>
              <w:t>55,00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419 024 651,40</w:t>
            </w:r>
          </w:p>
        </w:tc>
        <w:tc>
          <w:tcPr>
            <w:tcW w:w="750" w:type="pct"/>
            <w:shd w:val="clear" w:color="auto" w:fill="FFFFFF"/>
            <w:noWrap w:val="0"/>
            <w:tcMar>
              <w:top w:w="60" w:type="dxa"/>
            </w:tcMar>
            <w:vAlign w:val="center"/>
          </w:tcPr>
          <w:p>
            <w:pPr>
              <w:spacing w:before="20" w:after="20"/>
              <w:jc w:val="right"/>
              <w:rPr>
                <w:b w:val="0"/>
                <w:sz w:val="16"/>
              </w:rPr>
            </w:pPr>
            <w:r>
              <w:rPr>
                <w:b w:val="0"/>
                <w:sz w:val="16"/>
              </w:rPr>
              <w:t>73 971 538,00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233 605 405,00</w:t>
            </w:r>
          </w:p>
        </w:tc>
        <w:tc>
          <w:tcPr>
            <w:tcW w:w="750" w:type="pct"/>
            <w:shd w:val="clear" w:color="auto" w:fill="FFFFFF"/>
            <w:noWrap w:val="0"/>
            <w:tcMar>
              <w:top w:w="60" w:type="dxa"/>
            </w:tcMar>
            <w:vAlign w:val="center"/>
          </w:tcPr>
          <w:p>
            <w:pPr>
              <w:spacing w:before="20" w:after="20"/>
              <w:jc w:val="right"/>
              <w:rPr>
                <w:b w:val="0"/>
                <w:sz w:val="16"/>
              </w:rPr>
            </w:pPr>
            <w:r>
              <w:rPr>
                <w:b w:val="0"/>
                <w:sz w:val="16"/>
              </w:rPr>
              <w:t>36 985 769,00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154 266 117,00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550 000,00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460,00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84 266 116,90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42 829 679,00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120,00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3 694 595,00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2 177 766,10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1 306 660,00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750" w:type="pct"/>
            <w:shd w:val="clear" w:color="auto" w:fill="FFFFFF"/>
            <w:noWrap w:val="0"/>
            <w:tcMar>
              <w:top w:w="60" w:type="dxa"/>
            </w:tcMar>
            <w:vAlign w:val="center"/>
          </w:tcPr>
          <w:p>
            <w:pPr>
              <w:spacing w:before="20" w:after="20"/>
              <w:jc w:val="right"/>
              <w:rPr>
                <w:b w:val="0"/>
                <w:sz w:val="16"/>
              </w:rPr>
            </w:pPr>
            <w:r>
              <w:rPr>
                <w:b w:val="0"/>
                <w:sz w:val="16"/>
              </w:rPr>
              <w:t>7 000,00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40 000 000,00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230,00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1 300 000,00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750" w:type="pct"/>
            <w:shd w:val="clear" w:color="auto" w:fill="FFFFFF"/>
            <w:noWrap w:val="0"/>
            <w:tcMar>
              <w:top w:w="60" w:type="dxa"/>
            </w:tcMar>
            <w:vAlign w:val="center"/>
          </w:tcPr>
          <w:p>
            <w:pPr>
              <w:spacing w:before="20" w:after="20"/>
              <w:jc w:val="right"/>
              <w:rPr>
                <w:b w:val="0"/>
                <w:sz w:val="16"/>
              </w:rPr>
            </w:pPr>
            <w:r>
              <w:rPr>
                <w:b w:val="0"/>
                <w:sz w:val="16"/>
              </w:rPr>
              <w:t>230,00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1 631 112,00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2 397 058,80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3" w:name="_Toc256000173"/>
      <w:r>
        <w:rPr>
          <w:b w:val="0"/>
        </w:rPr>
        <w:t>P6: Насърчаване на социалното приобщаване, намаляването на бедността и икономическото развитие в селските райони</w:t>
      </w:r>
      <w:bookmarkEnd w:id="173"/>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3 500,00</w:t>
            </w:r>
          </w:p>
        </w:tc>
      </w:tr>
    </w:tbl>
    <w:p>
      <w:pPr>
        <w:jc w:val="center"/>
        <w:rPr>
          <w:b w:val="0"/>
          <w:sz w:val="16"/>
        </w:rPr>
      </w:pPr>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630,00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159 053 722,40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79 526 861,20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3 880 357,50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190,00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Exceptional temporary support to farmers and SMEs particularly affected by the impact of Russia's invasion of Ukraine (art 39b)</w:t>
            </w:r>
          </w:p>
        </w:tc>
        <w:tc>
          <w:tcPr>
            <w:tcW w:w="1750" w:type="pct"/>
            <w:shd w:val="clear" w:color="auto" w:fill="FFFFFF"/>
            <w:noWrap w:val="0"/>
            <w:tcMar>
              <w:top w:w="60" w:type="dxa"/>
            </w:tcMar>
            <w:vAlign w:val="center"/>
          </w:tcPr>
          <w:p>
            <w:pPr>
              <w:spacing w:before="20" w:after="20"/>
              <w:jc w:val="left"/>
              <w:rPr>
                <w:b w:val="0"/>
                <w:sz w:val="16"/>
              </w:rPr>
            </w:pPr>
            <w:r>
              <w:rPr>
                <w:b w:val="0"/>
                <w:sz w:val="16"/>
              </w:rPr>
              <w:t>Total public expenditure €</w:t>
            </w:r>
          </w:p>
        </w:tc>
        <w:tc>
          <w:tcPr>
            <w:tcW w:w="750" w:type="pct"/>
            <w:shd w:val="clear" w:color="auto" w:fill="FFFFFF"/>
            <w:noWrap w:val="0"/>
            <w:tcMar>
              <w:top w:w="60" w:type="dxa"/>
            </w:tcMar>
            <w:vAlign w:val="center"/>
          </w:tcPr>
          <w:p>
            <w:pPr>
              <w:spacing w:before="20" w:after="20"/>
              <w:jc w:val="right"/>
              <w:rPr>
                <w:b w:val="0"/>
                <w:sz w:val="16"/>
              </w:rPr>
            </w:pPr>
            <w:r>
              <w:rPr>
                <w:b w:val="0"/>
                <w:sz w:val="16"/>
              </w:rPr>
              <w:t>4 963 500,00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Exceptional temporary support to farmers and SMEs particularly affected by the impact of Russia's invasion of Ukraine (art 39b)</w:t>
            </w:r>
          </w:p>
        </w:tc>
        <w:tc>
          <w:tcPr>
            <w:tcW w:w="1750" w:type="pct"/>
            <w:shd w:val="clear" w:color="auto" w:fill="FFFFFF"/>
            <w:noWrap w:val="0"/>
            <w:tcMar>
              <w:top w:w="60" w:type="dxa"/>
            </w:tcMar>
            <w:vAlign w:val="center"/>
          </w:tcPr>
          <w:p>
            <w:pPr>
              <w:spacing w:before="20" w:after="20"/>
              <w:jc w:val="left"/>
              <w:rPr>
                <w:b w:val="0"/>
                <w:sz w:val="16"/>
              </w:rPr>
            </w:pPr>
            <w:r>
              <w:rPr>
                <w:b w:val="0"/>
                <w:sz w:val="16"/>
              </w:rPr>
              <w:t>Nr of SMEs supported</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640,00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750" w:type="pct"/>
            <w:shd w:val="clear" w:color="auto" w:fill="FFFFFF"/>
            <w:noWrap w:val="0"/>
            <w:tcMar>
              <w:top w:w="60" w:type="dxa"/>
            </w:tcMar>
            <w:vAlign w:val="center"/>
          </w:tcPr>
          <w:p>
            <w:pPr>
              <w:spacing w:before="20" w:after="20"/>
              <w:jc w:val="right"/>
              <w:rPr>
                <w:b w:val="0"/>
                <w:sz w:val="16"/>
              </w:rPr>
            </w:pPr>
            <w:r>
              <w:rPr>
                <w:b w:val="0"/>
                <w:sz w:val="16"/>
              </w:rPr>
              <w:t>1 995 000,00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606 663 542,40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1 370 000,00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750" w:type="pct"/>
            <w:shd w:val="clear" w:color="auto" w:fill="FFFFFF"/>
            <w:noWrap w:val="0"/>
            <w:tcMar>
              <w:top w:w="60" w:type="dxa"/>
            </w:tcMar>
            <w:vAlign w:val="center"/>
          </w:tcPr>
          <w:p>
            <w:pPr>
              <w:spacing w:before="20" w:after="20"/>
              <w:jc w:val="right"/>
              <w:rPr>
                <w:b w:val="0"/>
                <w:sz w:val="16"/>
              </w:rPr>
            </w:pPr>
            <w:r>
              <w:rPr>
                <w:b w:val="0"/>
                <w:sz w:val="16"/>
              </w:rPr>
              <w:t>8 023 392,00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60" w:type="dxa"/>
            </w:tcMar>
            <w:vAlign w:val="center"/>
          </w:tcPr>
          <w:p>
            <w:pPr>
              <w:spacing w:before="20" w:after="20"/>
              <w:jc w:val="right"/>
              <w:rPr>
                <w:b w:val="0"/>
                <w:sz w:val="16"/>
              </w:rPr>
            </w:pPr>
            <w:r>
              <w:rPr>
                <w:b w:val="0"/>
                <w:sz w:val="16"/>
              </w:rPr>
              <w:t>120 714 739,10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60" w:type="dxa"/>
            </w:tcMar>
            <w:vAlign w:val="center"/>
          </w:tcPr>
          <w:p>
            <w:pPr>
              <w:spacing w:before="20" w:after="20"/>
              <w:jc w:val="right"/>
              <w:rPr>
                <w:b w:val="0"/>
                <w:sz w:val="16"/>
              </w:rPr>
            </w:pPr>
            <w:r>
              <w:rPr>
                <w:b w:val="0"/>
                <w:sz w:val="16"/>
              </w:rPr>
              <w:t>6 500 000,00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60" w:type="dxa"/>
            </w:tcMar>
            <w:vAlign w:val="center"/>
          </w:tcPr>
          <w:p>
            <w:pPr>
              <w:spacing w:before="20" w:after="20"/>
              <w:jc w:val="right"/>
              <w:rPr>
                <w:b w:val="0"/>
                <w:sz w:val="16"/>
              </w:rPr>
            </w:pPr>
            <w:r>
              <w:rPr>
                <w:b w:val="0"/>
                <w:sz w:val="16"/>
              </w:rPr>
              <w:t>34 118 041,30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2014—2022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750" w:type="pct"/>
            <w:shd w:val="clear" w:color="auto" w:fill="FFFFFF"/>
            <w:noWrap w:val="0"/>
            <w:tcMar>
              <w:top w:w="60" w:type="dxa"/>
            </w:tcMar>
            <w:vAlign w:val="center"/>
          </w:tcPr>
          <w:p>
            <w:pPr>
              <w:spacing w:before="20" w:after="20"/>
              <w:jc w:val="right"/>
              <w:rPr>
                <w:b w:val="0"/>
                <w:sz w:val="16"/>
              </w:rPr>
            </w:pPr>
            <w:r>
              <w:rPr>
                <w:b w:val="0"/>
                <w:sz w:val="16"/>
              </w:rPr>
              <w:t>19,00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750" w:type="pct"/>
            <w:shd w:val="clear" w:color="auto" w:fill="FFFFFF"/>
            <w:noWrap w:val="0"/>
            <w:tcMar>
              <w:top w:w="60" w:type="dxa"/>
            </w:tcMar>
            <w:vAlign w:val="center"/>
          </w:tcPr>
          <w:p>
            <w:pPr>
              <w:spacing w:before="20" w:after="20"/>
              <w:jc w:val="right"/>
              <w:rPr>
                <w:b w:val="0"/>
                <w:sz w:val="16"/>
              </w:rPr>
            </w:pPr>
            <w:r>
              <w:rPr>
                <w:b w:val="0"/>
                <w:sz w:val="16"/>
              </w:rPr>
              <w:t>98 373,00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4" w:name="_Toc256000174"/>
      <w:r>
        <w:t>Преглед на планираното изпълнение и на планираните разходи по мерки и по области с поставен акцент (генериран автоматично)</w:t>
      </w:r>
      <w:bookmarkEnd w:id="1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5"/>
        <w:gridCol w:w="835"/>
        <w:gridCol w:w="835"/>
        <w:gridCol w:w="835"/>
        <w:gridCol w:w="835"/>
        <w:gridCol w:w="2"/>
        <w:gridCol w:w="833"/>
        <w:gridCol w:w="835"/>
        <w:gridCol w:w="3"/>
        <w:gridCol w:w="832"/>
        <w:gridCol w:w="835"/>
        <w:gridCol w:w="835"/>
        <w:gridCol w:w="2"/>
        <w:gridCol w:w="3"/>
        <w:gridCol w:w="830"/>
        <w:gridCol w:w="2"/>
        <w:gridCol w:w="833"/>
        <w:gridCol w:w="2"/>
        <w:gridCol w:w="833"/>
        <w:gridCol w:w="2"/>
        <w:gridCol w:w="833"/>
        <w:gridCol w:w="2"/>
        <w:gridCol w:w="833"/>
        <w:gridCol w:w="2"/>
        <w:gridCol w:w="6"/>
        <w:gridCol w:w="827"/>
        <w:gridCol w:w="2"/>
        <w:gridCol w:w="833"/>
        <w:gridCol w:w="2"/>
        <w:gridCol w:w="833"/>
        <w:gridCol w:w="2"/>
        <w:gridCol w:w="8"/>
        <w:gridCol w:w="83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750" w:type="pct"/>
            <w:gridSpan w:val="4"/>
            <w:shd w:val="clear" w:color="auto" w:fill="C0C0C0"/>
            <w:noWrap w:val="0"/>
            <w:tcMar>
              <w:top w:w="20" w:type="dxa"/>
              <w:left w:w="20" w:type="dxa"/>
              <w:bottom w:w="20" w:type="dxa"/>
            </w:tcMar>
            <w:vAlign w:val="center"/>
          </w:tcPr>
          <w:p>
            <w:pPr>
              <w:jc w:val="center"/>
              <w:rPr>
                <w:b w:val="0"/>
                <w:sz w:val="16"/>
              </w:rPr>
            </w:pPr>
            <w:r>
              <w:rPr>
                <w:b w:val="0"/>
                <w:sz w:val="16"/>
              </w:rPr>
              <w:t>P2</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P3</w:t>
            </w:r>
          </w:p>
        </w:tc>
        <w:tc>
          <w:tcPr>
            <w:tcW w:w="750" w:type="pct"/>
            <w:gridSpan w:val="5"/>
            <w:shd w:val="clear" w:color="auto" w:fill="C0C0C0"/>
            <w:noWrap w:val="0"/>
            <w:tcMar>
              <w:top w:w="20" w:type="dxa"/>
              <w:left w:w="20" w:type="dxa"/>
              <w:bottom w:w="20" w:type="dxa"/>
            </w:tcMar>
            <w:vAlign w:val="center"/>
          </w:tcPr>
          <w:p>
            <w:pPr>
              <w:jc w:val="center"/>
              <w:rPr>
                <w:b w:val="0"/>
                <w:sz w:val="16"/>
              </w:rPr>
            </w:pPr>
            <w:r>
              <w:rPr>
                <w:b w:val="0"/>
                <w:sz w:val="16"/>
              </w:rPr>
              <w:t>P4</w:t>
            </w:r>
          </w:p>
        </w:tc>
        <w:tc>
          <w:tcPr>
            <w:tcW w:w="750" w:type="pct"/>
            <w:gridSpan w:val="11"/>
            <w:shd w:val="clear" w:color="auto" w:fill="C0C0C0"/>
            <w:noWrap w:val="0"/>
            <w:tcMar>
              <w:top w:w="20" w:type="dxa"/>
              <w:left w:w="20" w:type="dxa"/>
              <w:bottom w:w="20" w:type="dxa"/>
            </w:tcMar>
            <w:vAlign w:val="center"/>
          </w:tcPr>
          <w:p>
            <w:pPr>
              <w:jc w:val="center"/>
              <w:rPr>
                <w:b w:val="0"/>
                <w:sz w:val="16"/>
              </w:rPr>
            </w:pPr>
            <w:r>
              <w:rPr>
                <w:b w:val="0"/>
                <w:sz w:val="16"/>
              </w:rPr>
              <w:t>P5</w:t>
            </w:r>
          </w:p>
        </w:tc>
        <w:tc>
          <w:tcPr>
            <w:tcW w:w="750" w:type="pct"/>
            <w:gridSpan w:val="7"/>
            <w:shd w:val="clear" w:color="auto" w:fill="C0C0C0"/>
            <w:noWrap w:val="0"/>
            <w:tcMar>
              <w:top w:w="20" w:type="dxa"/>
              <w:left w:w="20" w:type="dxa"/>
              <w:bottom w:w="20" w:type="dxa"/>
            </w:tcMar>
            <w:vAlign w:val="center"/>
          </w:tcPr>
          <w:p>
            <w:pPr>
              <w:jc w:val="center"/>
              <w:rPr>
                <w:b w:val="0"/>
                <w:sz w:val="16"/>
              </w:rPr>
            </w:pPr>
            <w:r>
              <w:rPr>
                <w:b w:val="0"/>
                <w:sz w:val="16"/>
              </w:rPr>
              <w:t>P6</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3A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4A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5A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5D</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5E</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6A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6C</w:t>
            </w:r>
          </w:p>
        </w:tc>
        <w:tc>
          <w:tcPr>
            <w:tcW w:w="750" w:type="pct"/>
            <w:gridSpan w:val="3"/>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3,505,404.4</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22,999,999.4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8,460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180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1,050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21,870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9,595,431.8</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3,254,531.8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903,715.3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469,715.3</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2,313,178.8</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348,412.9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20,828,609.5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559,165,890.3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140,088,285.8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782,052,716.6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58,263,917.2</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74,465,860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419,024,651.4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84,266,116.9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2,177,766.1</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2,119,505,204.3</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359,290,503.7</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84,052,971.5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391,194,274.9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34,958,350.3</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74,465,860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233,605,405</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42,829,679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1,306,660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1,221,703,704.4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27,589,337</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27,589,337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83,945,294.1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107,713,021.1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159,053,722.4</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355,969,585.6</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83,945,294.1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107,713,021.1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79,526,861.2</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276,442,724.4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606,663,542.4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42,000,000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718,663,542.4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1,631,112</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1,631,112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20,474,302.4</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20,474,302.4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18,500,000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18,500,000</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9,316,502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9,316,502</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242,384,616</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40,000,000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282,384,616</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233,943,439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233,943,439</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204,676,037.7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204,676,037.7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райони със специфични ограничения (13.3)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383,814,675</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383,814,675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24,802,124.7</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24,802,124.7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14,388,889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2,055,555.6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6,000,000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28,000,000.1</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8,023,392</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8,023,392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120,714,739.1</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120,714,739.1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34,118,041.3</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34,118,041.3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44,461,947.4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3,880,357.5</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48,342,304.9</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190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190</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Total public expenditure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28,000,000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4,963,500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32,963,500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Nr of holdings supported</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Nr of SMEs supported</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bl>
    <w:p>
      <w:pPr>
        <w:sectPr>
          <w:pgSz w:w="15840" w:h="12240" w:orient="landscape"/>
          <w:pgMar w:top="900" w:right="46" w:bottom="900" w:left="46" w:header="720" w:footer="720"/>
          <w:cols w:space="720"/>
        </w:sectPr>
      </w:pPr>
    </w:p>
    <w:p>
      <w:pPr>
        <w:pStyle w:val="Heading2"/>
      </w:pPr>
      <w:bookmarkStart w:id="175" w:name="_Toc256000175"/>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M22 - Exceptional temporary support to farmers and SMEs particularly affected by the impact of Russia's invasion of Ukraine (art 39b)</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M22 - Exceptional temporary support to farmers and SMEs particularly affected by the impact of Russia's invasion of Ukraine (art 39b)</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6" w:name="_Toc256000176"/>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6"/>
    </w:p>
    <w:p>
      <w:pPr>
        <w:pStyle w:val="Heading3"/>
        <w:jc w:val="left"/>
        <w:rPr>
          <w:b w:val="0"/>
        </w:rPr>
      </w:pPr>
      <w:r>
        <w:rPr>
          <w:b w:val="0"/>
        </w:rPr>
        <w:t xml:space="preserve"> </w:t>
      </w:r>
      <w:bookmarkStart w:id="177" w:name="_Toc256000177"/>
      <w:r>
        <w:rPr>
          <w:b w:val="0"/>
        </w:rPr>
        <w:t>Земеделска земя</w:t>
      </w:r>
      <w:bookmarkEnd w:id="177"/>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40 000 000,00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61 669 093,30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29 447 213,30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61 867 213,30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37 867 213,30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46 533 882,70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128 036 389,30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105 907 050,10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187 805 010,70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1 631 112,00</w:t>
            </w:r>
          </w:p>
        </w:tc>
        <w:tc>
          <w:tcPr>
            <w:tcW w:w="750" w:type="pct"/>
            <w:shd w:val="clear" w:color="auto" w:fill="FFFFFF"/>
            <w:noWrap w:val="0"/>
            <w:tcMar>
              <w:top w:w="60" w:type="dxa"/>
            </w:tcMar>
            <w:vAlign w:val="top"/>
          </w:tcPr>
          <w:p>
            <w:pPr>
              <w:jc w:val="right"/>
              <w:rPr>
                <w:b w:val="0"/>
                <w:sz w:val="16"/>
              </w:rPr>
            </w:pPr>
            <w:r>
              <w:rPr>
                <w:b w:val="0"/>
                <w:sz w:val="16"/>
              </w:rPr>
              <w:t>230,00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8" w:name="_Toc256000178"/>
      <w:r>
        <w:rPr>
          <w:b w:val="0"/>
        </w:rPr>
        <w:t>Горски площи</w:t>
      </w:r>
      <w:bookmarkEnd w:id="178"/>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1 871 026,70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9" w:name="_Toc256000179"/>
      <w:r>
        <w:t>Специфични за програмата цел и изпълнение</w:t>
      </w:r>
      <w:bookmarkEnd w:id="179"/>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2025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120,00</w:t>
            </w:r>
          </w:p>
        </w:tc>
        <w:tc>
          <w:tcPr>
            <w:tcW w:w="1000" w:type="pct"/>
            <w:shd w:val="clear" w:color="auto" w:fill="FFFFFF"/>
          </w:tcPr>
          <w:p>
            <w:pPr>
              <w:spacing w:before="20" w:after="20"/>
              <w:jc w:val="left"/>
              <w:rPr>
                <w:b w:val="0"/>
                <w:sz w:val="16"/>
              </w:rPr>
            </w:pPr>
            <w:r>
              <w:rPr>
                <w:b w:val="0"/>
                <w:sz w:val="16"/>
              </w:rPr>
              <w:t>брой</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22"/>
        <w:gridCol w:w="1522"/>
        <w:gridCol w:w="1522"/>
        <w:gridCol w:w="1522"/>
        <w:gridCol w:w="1522"/>
        <w:gridCol w:w="1522"/>
        <w:gridCol w:w="15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sz w:val="20"/>
              </w:rPr>
            </w:pPr>
            <w:r>
              <w:rPr>
                <w:b/>
                <w:sz w:val="20"/>
              </w:rPr>
              <w:t>от които по линия на EURI</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right"/>
              <w:rPr>
                <w:b w:val="0"/>
                <w:sz w:val="16"/>
              </w:rPr>
            </w:pPr>
            <w:r>
              <w:rPr>
                <w:b w:val="0"/>
                <w:sz w:val="16"/>
              </w:rPr>
              <w:t>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80" w:name="_Toc256000180"/>
      <w:r>
        <w:t>Допълнително национално финансиране</w:t>
      </w:r>
      <w:bookmarkEnd w:id="180"/>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M22 - Exceptional temporary support to farmers and SMEs particularly affected by the impact of Russia's invasion of Ukraine (art 39b)</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81" w:name="_Toc256000181"/>
      <w:r>
        <w:rPr>
          <w:b/>
          <w:i w:val="0"/>
        </w:rPr>
        <w:t>М01 — Трансфер на знания и действия за осведомяване (член 14)</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2" w:name="_Toc256000182"/>
      <w:r>
        <w:rPr>
          <w:b/>
          <w:i w:val="0"/>
        </w:rPr>
        <w:t>М02 —  Консултантски услуги, услуги по управление на стопанство и услуги по заместване в стопанство (член 15)</w:t>
      </w:r>
      <w:bookmarkEnd w:id="1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3" w:name="_Toc256000183"/>
      <w:r>
        <w:rPr>
          <w:b/>
          <w:i w:val="0"/>
        </w:rPr>
        <w:t>M04 — Инвестиции в материални активи (член 17)</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4"/>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5" w:name="_Toc256000185"/>
      <w:r>
        <w:rPr>
          <w:b/>
          <w:i w:val="0"/>
        </w:rPr>
        <w:t>M06 — Развитие на стопанства и предприятия (член 19)</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М07 — Основни услуги и обновяване на селата в селските райони (член 20)</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М08 — Инвестиции в развитие на горските райони и подобряване на жизнеспособността на горите (членове 21 — 26)</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M09 — Създаване на групи и организации на производителите (член 27)</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M10 — Агроекология и климат (член 28)</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М11 — Биологично земеделие (член 29)</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M12 — Плащания по „Натура 2000“ и Рамковата директива за водите (член 30)</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М13 — Плащания за райони, изправени пред природни или други специфични ограничения (член 31)</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3" w:name="_Toc256000193"/>
      <w:r>
        <w:rPr>
          <w:b/>
          <w:i w:val="0"/>
        </w:rPr>
        <w:t>M14 — Хуманно отношение към животните (член 33)</w:t>
      </w:r>
      <w:bookmarkEnd w:id="19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4" w:name="_Toc256000194"/>
      <w:r>
        <w:rPr>
          <w:b/>
          <w:i w:val="0"/>
        </w:rPr>
        <w:t>M16 — Сътрудничество (член 35)</w:t>
      </w:r>
      <w:bookmarkEnd w:id="19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5" w:name="_Toc256000195"/>
      <w:r>
        <w:rPr>
          <w:b/>
          <w:i w:val="0"/>
        </w:rPr>
        <w:t>M19 — Подкрепа за местно развитие по LEADER (ВОМР — водено от общностите местно развитие) (член 35 от Регламент (ЕС) № 1303/2013)</w:t>
      </w:r>
      <w:bookmarkEnd w:id="19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6" w:name="_Toc256000196"/>
      <w:r>
        <w:rPr>
          <w:b/>
          <w:i w:val="0"/>
        </w:rPr>
        <w:t>М20 — Техническа помощ държави членки (членове 51 — 54)</w:t>
      </w:r>
      <w:bookmarkEnd w:id="19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7" w:name="_Toc256000197"/>
      <w:r>
        <w:rPr>
          <w:b/>
          <w:i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9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pStyle w:val="Heading2"/>
        <w:rPr>
          <w:b/>
          <w:i w:val="0"/>
        </w:rPr>
      </w:pPr>
      <w:bookmarkStart w:id="198" w:name="_Toc256000198"/>
      <w:r>
        <w:rPr>
          <w:b/>
          <w:i w:val="0"/>
        </w:rPr>
        <w:t>M22 - Exceptional temporary support to farmers and SMEs particularly affected by the impact of Russia's invasion of Ukraine (art 39b)</w:t>
      </w:r>
      <w:bookmarkEnd w:id="19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9" w:name="_Toc256000199"/>
      <w:r>
        <w:t>Елементи, необходими за оценка на държавната помощ</w:t>
      </w:r>
      <w:bookmarkEnd w:id="199"/>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13 500 000,00</w:t>
            </w:r>
          </w:p>
        </w:tc>
        <w:tc>
          <w:tcPr>
            <w:tcW w:w="650" w:type="pct"/>
            <w:shd w:val="clear" w:color="auto" w:fill="FFFFFF"/>
            <w:noWrap w:val="0"/>
            <w:tcMar>
              <w:top w:w="60" w:type="dxa"/>
            </w:tcMar>
            <w:vAlign w:val="top"/>
          </w:tcPr>
          <w:p>
            <w:pPr>
              <w:jc w:val="right"/>
              <w:rPr>
                <w:b w:val="0"/>
                <w:sz w:val="16"/>
              </w:rPr>
            </w:pPr>
            <w:r>
              <w:rPr>
                <w:b w:val="0"/>
                <w:sz w:val="16"/>
              </w:rPr>
              <w:t>1 500 000,00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96 663 875,09</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200" w:type="pct"/>
            <w:shd w:val="clear" w:color="auto" w:fill="FFFFFF"/>
            <w:noWrap w:val="0"/>
            <w:tcMar>
              <w:top w:w="60" w:type="dxa"/>
            </w:tcMar>
            <w:vAlign w:val="top"/>
          </w:tcPr>
          <w:p>
            <w:pPr>
              <w:jc w:val="left"/>
              <w:rPr>
                <w:b w:val="0"/>
                <w:sz w:val="16"/>
              </w:rPr>
            </w:pPr>
            <w:r>
              <w:rPr>
                <w:b w:val="0"/>
                <w:sz w:val="16"/>
              </w:rPr>
              <w:t>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tc>
        <w:tc>
          <w:tcPr>
            <w:tcW w:w="650" w:type="pct"/>
            <w:shd w:val="clear" w:color="auto" w:fill="FFFFFF"/>
            <w:noWrap w:val="0"/>
            <w:tcMar>
              <w:top w:w="60" w:type="dxa"/>
            </w:tcMar>
            <w:vAlign w:val="top"/>
          </w:tcPr>
          <w:p>
            <w:pPr>
              <w:jc w:val="right"/>
              <w:rPr>
                <w:b w:val="0"/>
                <w:sz w:val="16"/>
              </w:rPr>
            </w:pPr>
            <w:r>
              <w:rPr>
                <w:b w:val="0"/>
                <w:sz w:val="16"/>
              </w:rPr>
              <w:t>4 250 000,00</w:t>
            </w:r>
          </w:p>
        </w:tc>
        <w:tc>
          <w:tcPr>
            <w:tcW w:w="650" w:type="pct"/>
            <w:shd w:val="clear" w:color="auto" w:fill="FFFFFF"/>
            <w:noWrap w:val="0"/>
            <w:tcMar>
              <w:top w:w="60" w:type="dxa"/>
            </w:tcMar>
            <w:vAlign w:val="top"/>
          </w:tcPr>
          <w:p>
            <w:pPr>
              <w:jc w:val="right"/>
              <w:rPr>
                <w:b w:val="0"/>
                <w:sz w:val="16"/>
              </w:rPr>
            </w:pPr>
            <w:r>
              <w:rPr>
                <w:b w:val="0"/>
                <w:sz w:val="16"/>
              </w:rPr>
              <w:t>750 000,00</w:t>
            </w:r>
          </w:p>
        </w:tc>
        <w:tc>
          <w:tcPr>
            <w:tcW w:w="650" w:type="pct"/>
            <w:shd w:val="clear" w:color="auto" w:fill="FFFFFF"/>
            <w:noWrap w:val="0"/>
            <w:tcMar>
              <w:top w:w="60" w:type="dxa"/>
            </w:tcMar>
            <w:vAlign w:val="top"/>
          </w:tcPr>
          <w:p>
            <w:pPr>
              <w:jc w:val="right"/>
              <w:rPr>
                <w:b w:val="0"/>
                <w:sz w:val="16"/>
              </w:rPr>
            </w:pPr>
            <w:r>
              <w:rPr>
                <w:b w:val="0"/>
                <w:sz w:val="16"/>
              </w:rPr>
              <w:t>5 000 000,00</w:t>
            </w:r>
          </w:p>
        </w:tc>
        <w:tc>
          <w:tcPr>
            <w:tcW w:w="650" w:type="pct"/>
            <w:shd w:val="clear" w:color="auto" w:fill="FFFFFF"/>
            <w:noWrap w:val="0"/>
            <w:tcMar>
              <w:top w:w="60" w:type="dxa"/>
            </w:tcMar>
            <w:vAlign w:val="top"/>
          </w:tcPr>
          <w:p>
            <w:pPr>
              <w:jc w:val="right"/>
              <w:rPr>
                <w:b w:val="0"/>
                <w:sz w:val="16"/>
              </w:rPr>
            </w:pPr>
            <w:r>
              <w:rPr>
                <w:b w:val="0"/>
                <w:sz w:val="16"/>
              </w:rPr>
              <w:t>10 000 000,00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M22 - Exceptional temporary support to farmers and SMEs particularly affected by the impact of Russia's invasion of Ukraine (art 39b)</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649 372 224,38</w:t>
            </w:r>
          </w:p>
        </w:tc>
        <w:tc>
          <w:tcPr>
            <w:tcW w:w="650" w:type="pct"/>
            <w:shd w:val="clear" w:color="auto" w:fill="C0C0C0"/>
            <w:noWrap w:val="0"/>
            <w:tcMar>
              <w:top w:w="60" w:type="dxa"/>
            </w:tcMar>
            <w:vAlign w:val="top"/>
          </w:tcPr>
          <w:p>
            <w:pPr>
              <w:jc w:val="right"/>
              <w:rPr>
                <w:b/>
                <w:sz w:val="16"/>
              </w:rPr>
            </w:pPr>
            <w:r>
              <w:rPr>
                <w:b/>
                <w:sz w:val="16"/>
              </w:rPr>
              <w:t>108 371 105,76</w:t>
            </w:r>
          </w:p>
        </w:tc>
        <w:tc>
          <w:tcPr>
            <w:tcW w:w="650" w:type="pct"/>
            <w:shd w:val="clear" w:color="auto" w:fill="C0C0C0"/>
            <w:noWrap w:val="0"/>
            <w:tcMar>
              <w:top w:w="60" w:type="dxa"/>
            </w:tcMar>
            <w:vAlign w:val="top"/>
          </w:tcPr>
          <w:p>
            <w:pPr>
              <w:jc w:val="right"/>
              <w:rPr>
                <w:b/>
                <w:sz w:val="16"/>
              </w:rPr>
            </w:pPr>
            <w:r>
              <w:rPr>
                <w:b/>
                <w:sz w:val="16"/>
              </w:rPr>
              <w:t>5 000 000,00</w:t>
            </w:r>
          </w:p>
        </w:tc>
        <w:tc>
          <w:tcPr>
            <w:tcW w:w="650" w:type="pct"/>
            <w:shd w:val="clear" w:color="auto" w:fill="C0C0C0"/>
            <w:noWrap w:val="0"/>
            <w:tcMar>
              <w:top w:w="60" w:type="dxa"/>
            </w:tcMar>
            <w:vAlign w:val="top"/>
          </w:tcPr>
          <w:p>
            <w:pPr>
              <w:jc w:val="right"/>
              <w:rPr>
                <w:b w:val="0"/>
                <w:sz w:val="16"/>
              </w:rPr>
            </w:pPr>
            <w:r>
              <w:rPr>
                <w:b/>
                <w:sz w:val="16"/>
              </w:rPr>
              <w:t>762 743 330,14</w:t>
            </w:r>
          </w:p>
        </w:tc>
      </w:tr>
    </w:tbl>
    <w:p>
      <w:pPr>
        <w:rPr>
          <w:b/>
        </w:rPr>
        <w:sectPr>
          <w:pgSz w:w="15840" w:h="12240" w:orient="landscape"/>
          <w:pgMar w:top="900" w:right="900" w:bottom="900" w:left="900" w:header="720" w:footer="720"/>
          <w:cols w:space="720"/>
        </w:sectPr>
      </w:pPr>
    </w:p>
    <w:p/>
    <w:p>
      <w:pPr>
        <w:pStyle w:val="Heading2"/>
      </w:pPr>
      <w:bookmarkStart w:id="200" w:name="_Toc256000200"/>
      <w:r>
        <w:t>М01 — Трансфер на знания и действия за осведомяване (член 14)</w:t>
      </w:r>
      <w:bookmarkEnd w:id="200"/>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13 500 000,00</w:t>
      </w:r>
    </w:p>
    <w:p>
      <w:r>
        <w:t xml:space="preserve">Национално съфинансиране (в евро): </w:t>
      </w:r>
      <w:r>
        <w:t>1 500 000,00</w:t>
      </w:r>
    </w:p>
    <w:p>
      <w:r>
        <w:t xml:space="preserve">Допълнително национално финансиране (в евро): </w:t>
      </w:r>
    </w:p>
    <w:p>
      <w:r>
        <w:t xml:space="preserve">Общо (в EUR): </w:t>
      </w:r>
      <w:r>
        <w:t>15 000 000,00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демонстрационни дейности, насочени към горски стопани и заетите лица в техните стопанства, ще се предоставя посредством държавна помощ SA.103935 "Демонстрационни дейности и действия по осведомяване“ от мярка 1 „Трансфер на знания и действия за осведомяване“ от ПРСР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1" w:name="_Toc256000201"/>
      <w:r>
        <w:t>М02 —  Консултантски услуги, услуги по управление на стопанство и услуги по заместване в стопанство (член 15)</w:t>
      </w:r>
      <w:bookmarkEnd w:id="201"/>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2" w:name="_Toc256000202"/>
      <w:r>
        <w:t>М02 —  Консултантски услуги, услуги по управление на стопанство и услуги по заместване в стопанство (член 15)</w:t>
      </w:r>
      <w:bookmarkEnd w:id="202"/>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3" w:name="_Toc256000203"/>
      <w:r>
        <w:t>M04 — Инвестиции в материални активи (член 17)</w:t>
      </w:r>
      <w:bookmarkEnd w:id="203"/>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204" w:name="_Toc256000204"/>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204"/>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205" w:name="_Toc256000205"/>
      <w:r>
        <w:t>M06 — Развитие на стопанства и предприятия (член 19)</w:t>
      </w:r>
      <w:bookmarkEnd w:id="205"/>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6" w:name="_Toc256000206"/>
      <w:r>
        <w:t>М07 — Основни услуги и обновяване на селата в селските райони (член 20)</w:t>
      </w:r>
      <w:bookmarkEnd w:id="206"/>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7" w:name="_Toc256000207"/>
      <w:r>
        <w:t>М07 — Основни услуги и обновяване на селата в селските райони (член 20)</w:t>
      </w:r>
      <w:bookmarkEnd w:id="207"/>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8" w:name="_Toc256000208"/>
      <w:r>
        <w:t>М07 — Основни услуги и обновяване на селата в селските райони (член 20)</w:t>
      </w:r>
      <w:bookmarkEnd w:id="208"/>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9" w:name="_Toc256000209"/>
      <w:r>
        <w:t>М08 — Инвестиции в развитие на горските райони и подобряване на жизнеспособността на горите (членове 21 — 26)</w:t>
      </w:r>
      <w:bookmarkEnd w:id="209"/>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М08 — Инвестиции в развитие на горските райони и подобряване на жизнеспособността на горите (членове 21 — 26)</w:t>
      </w:r>
      <w:bookmarkEnd w:id="210"/>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М08 — Инвестиции в развитие на горските райони и подобряване на жизнеспособността на горите (членове 21 — 26)</w:t>
      </w:r>
      <w:bookmarkEnd w:id="211"/>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М08 — Инвестиции в развитие на горските райони и подобряване на жизнеспособността на горите (членове 21 — 26)</w:t>
      </w:r>
      <w:bookmarkEnd w:id="212"/>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M09 — Създаване на групи и организации на производителите (член 27)</w:t>
      </w:r>
      <w:bookmarkEnd w:id="21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M10 — Агроекология и климат (член 28)</w:t>
      </w:r>
      <w:bookmarkEnd w:id="2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М11 — Биологично земеделие (член 29)</w:t>
      </w:r>
      <w:bookmarkEnd w:id="215"/>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6" w:name="_Toc256000216"/>
      <w:r>
        <w:t>M12 — Плащания по „Натура 2000“ и Рамковата директива за водите (член 30)</w:t>
      </w:r>
      <w:bookmarkEnd w:id="216"/>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7" w:name="_Toc256000217"/>
      <w:r>
        <w:t>М13 — Плащания за райони, изправени пред природни или други специфични ограничения (член 31)</w:t>
      </w:r>
      <w:bookmarkEnd w:id="217"/>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8" w:name="_Toc256000218"/>
      <w:r>
        <w:t>M14 — Хуманно отношение към животните (член 33)</w:t>
      </w:r>
      <w:bookmarkEnd w:id="218"/>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9" w:name="_Toc256000219"/>
      <w:r>
        <w:t>M16 — Сътрудничество (член 35)</w:t>
      </w:r>
      <w:bookmarkEnd w:id="219"/>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0" w:name="_Toc256000220"/>
      <w:r>
        <w:t>M16 — Сътрудничество (член 35)</w:t>
      </w:r>
      <w:bookmarkEnd w:id="220"/>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1" w:name="_Toc256000221"/>
      <w:r>
        <w:t>M19 — Подкрепа за местно развитие по LEADER (ВОМР — водено от общностите местно развитие) (член 35 от Регламент (ЕС) № 1303/2013)</w:t>
      </w:r>
      <w:bookmarkEnd w:id="221"/>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2" w:name="_Toc256000222"/>
      <w: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222"/>
    </w:p>
    <w:p>
      <w:r>
        <w:t>Наименование на схемата за помощ</w:t>
      </w:r>
      <w:r>
        <w:t>: 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p>
      <w:r>
        <w:t xml:space="preserve">ЕЗФРСР (в евро): </w:t>
      </w:r>
      <w:r>
        <w:t>4 250 000,00</w:t>
      </w:r>
    </w:p>
    <w:p>
      <w:r>
        <w:t xml:space="preserve">Национално съфинансиране (в евро): </w:t>
      </w:r>
      <w:r>
        <w:t>750 000,00</w:t>
      </w:r>
    </w:p>
    <w:p>
      <w:r>
        <w:t xml:space="preserve">Допълнително национално финансиране (в евро): </w:t>
      </w:r>
      <w:r>
        <w:t>5 000 000,00</w:t>
      </w:r>
    </w:p>
    <w:p>
      <w:r>
        <w:t xml:space="preserve">Общо (в EUR): </w:t>
      </w:r>
      <w:r>
        <w:t>10 000 000,00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21.3 „Изключителна и временна подкрепа за МСП и групи и организации на производители COVID“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pPr>
          </w:p>
        </w:tc>
      </w:tr>
    </w:tbl>
    <w:p/>
    <w:p>
      <w:pPr>
        <w:pStyle w:val="Heading2"/>
      </w:pPr>
      <w:bookmarkStart w:id="223" w:name="_Toc256000223"/>
      <w:r>
        <w:t>M22 - Exceptional temporary support to farmers and SMEs particularly affected by the impact of Russia's invasion of Ukraine (art 39b)</w:t>
      </w:r>
      <w:bookmarkEnd w:id="22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Pr>
        <w:sectPr>
          <w:pgMar w:top="900" w:right="900" w:bottom="900" w:left="900" w:header="720" w:footer="720"/>
          <w:cols w:space="720"/>
        </w:sectPr>
      </w:pPr>
    </w:p>
    <w:p>
      <w:pPr>
        <w:pStyle w:val="Heading1"/>
      </w:pPr>
      <w:bookmarkStart w:id="224" w:name="_Toc256000224"/>
      <w:r>
        <w:t>Информация относно взаимното допълване</w:t>
      </w:r>
      <w:bookmarkEnd w:id="224"/>
    </w:p>
    <w:p>
      <w:pPr>
        <w:pStyle w:val="Heading2"/>
      </w:pPr>
      <w:bookmarkStart w:id="225" w:name="_Toc256000225"/>
      <w:r>
        <w:t>Описание на средствата за осигуряване на допълняемост и съгласуваност със:</w:t>
      </w:r>
      <w:bookmarkEnd w:id="225"/>
      <w:r>
        <w:t xml:space="preserve"> </w:t>
      </w:r>
    </w:p>
    <w:p>
      <w:pPr>
        <w:pStyle w:val="Heading3"/>
        <w:jc w:val="left"/>
        <w:rPr>
          <w:b w:val="0"/>
        </w:rPr>
      </w:pPr>
      <w:bookmarkStart w:id="226" w:name="_Toc256000226"/>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обекти подпомогнати от ОПРР. За целта ще се извършват кръстосани проверки за предотвратяване на двойно финансиране между ПРСР и ОПРР.</w:t>
            </w:r>
            <w:r>
              <w:rPr>
                <w:rFonts w:ascii="Times New Roman" w:eastAsia="Times New Roman" w:hAnsi="Times New Roman" w:cs="Times New Roman"/>
                <w:szCs w:val="24"/>
              </w:rPr>
              <w:t>.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27" w:name="_Toc256000227"/>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2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8" w:name="_Toc256000228"/>
      <w:r>
        <w:rPr>
          <w:b w:val="0"/>
        </w:rPr>
        <w:t>Когато е целесъобразно, информация за взаимното допълване с други финансови инструменти на Съюза, включително програма LIFE</w:t>
      </w:r>
      <w:bookmarkEnd w:id="2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9" w:name="_Toc256000229"/>
      <w:r>
        <w:t>Организация за изпълнението на програмата</w:t>
      </w:r>
      <w:bookmarkEnd w:id="229"/>
    </w:p>
    <w:p>
      <w:pPr>
        <w:pStyle w:val="Heading2"/>
      </w:pPr>
      <w:bookmarkStart w:id="230" w:name="_Toc256000230"/>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30"/>
    </w:p>
    <w:p>
      <w:pPr>
        <w:pStyle w:val="Heading3"/>
        <w:jc w:val="left"/>
        <w:rPr>
          <w:b w:val="0"/>
        </w:rPr>
      </w:pPr>
      <w:bookmarkStart w:id="231" w:name="_Toc256000231"/>
      <w:r>
        <w:rPr>
          <w:b w:val="0"/>
        </w:rPr>
        <w:t>Органи</w:t>
      </w:r>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60" w:type="dxa"/>
            </w:tcMar>
            <w:vAlign w:val="top"/>
          </w:tcPr>
          <w:p>
            <w:pPr>
              <w:jc w:val="center"/>
              <w:rPr>
                <w:b/>
                <w:sz w:val="20"/>
              </w:rPr>
            </w:pPr>
            <w:r>
              <w:rPr>
                <w:b/>
                <w:sz w:val="20"/>
              </w:rPr>
              <w:t>Орган</w:t>
            </w:r>
          </w:p>
        </w:tc>
        <w:tc>
          <w:tcPr>
            <w:tcW w:w="12000" w:type="dxa"/>
            <w:shd w:val="clear" w:color="auto" w:fill="C0C0C0"/>
            <w:noWrap w:val="0"/>
            <w:tcMar>
              <w:top w:w="60" w:type="dxa"/>
            </w:tcMar>
            <w:vAlign w:val="top"/>
          </w:tcPr>
          <w:p>
            <w:pPr>
              <w:jc w:val="center"/>
              <w:rPr>
                <w:b/>
                <w:sz w:val="20"/>
              </w:rPr>
            </w:pPr>
            <w:r>
              <w:rPr>
                <w:b/>
                <w:sz w:val="20"/>
              </w:rPr>
              <w:t>Наименование на органа</w:t>
            </w:r>
          </w:p>
        </w:tc>
        <w:tc>
          <w:tcPr>
            <w:tcW w:w="12000" w:type="dxa"/>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12000" w:type="dxa"/>
            <w:shd w:val="clear" w:color="auto" w:fill="C0C0C0"/>
            <w:noWrap w:val="0"/>
            <w:tcMar>
              <w:top w:w="60" w:type="dxa"/>
            </w:tcMar>
            <w:vAlign w:val="top"/>
          </w:tcPr>
          <w:p>
            <w:pPr>
              <w:jc w:val="center"/>
              <w:rPr>
                <w:b/>
                <w:sz w:val="20"/>
              </w:rPr>
            </w:pPr>
            <w:r>
              <w:rPr>
                <w:b/>
                <w:sz w:val="20"/>
              </w:rPr>
              <w:t>Адрес</w:t>
            </w:r>
          </w:p>
        </w:tc>
        <w:tc>
          <w:tcPr>
            <w:tcW w:w="12000" w:type="dxa"/>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Managing authority</w:t>
            </w:r>
          </w:p>
        </w:tc>
        <w:tc>
          <w:tcPr>
            <w:tcW w:w="12000" w:type="dxa"/>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w:t>
            </w:r>
          </w:p>
        </w:tc>
        <w:tc>
          <w:tcPr>
            <w:tcW w:w="12000" w:type="dxa"/>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12000" w:type="dxa"/>
            <w:shd w:val="clear" w:color="auto" w:fill="FFFFFF"/>
            <w:noWrap w:val="0"/>
            <w:tcMar>
              <w:top w:w="60" w:type="dxa"/>
            </w:tcMar>
            <w:vAlign w:val="top"/>
          </w:tcPr>
          <w:p>
            <w:pPr>
              <w:jc w:val="left"/>
              <w:rPr>
                <w:b w:val="0"/>
                <w:sz w:val="16"/>
              </w:rPr>
            </w:pPr>
            <w:r>
              <w:rPr>
                <w:b w:val="0"/>
                <w:sz w:val="16"/>
              </w:rPr>
              <w:t>бул. "Христо Ботев" 55, София 1040</w:t>
            </w:r>
          </w:p>
        </w:tc>
        <w:tc>
          <w:tcPr>
            <w:tcW w:w="12000" w:type="dxa"/>
            <w:shd w:val="clear" w:color="auto" w:fill="FFFFFF"/>
            <w:noWrap w:val="0"/>
            <w:tcMar>
              <w:top w:w="60" w:type="dxa"/>
            </w:tcMar>
            <w:vAlign w:val="top"/>
          </w:tcPr>
          <w:p>
            <w:pPr>
              <w:jc w:val="left"/>
              <w:rPr>
                <w:b w:val="0"/>
                <w:sz w:val="16"/>
              </w:rPr>
            </w:pPr>
            <w:r>
              <w:rPr>
                <w:b w:val="0"/>
                <w:sz w:val="16"/>
              </w:rPr>
              <w:t>EAIvanova@mzh.government.bg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Certification body</w:t>
            </w:r>
          </w:p>
        </w:tc>
        <w:tc>
          <w:tcPr>
            <w:tcW w:w="12000" w:type="dxa"/>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 „Витоша“ 15, София 1000</w:t>
            </w:r>
          </w:p>
        </w:tc>
        <w:tc>
          <w:tcPr>
            <w:tcW w:w="12000" w:type="dxa"/>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Accredited paying agency</w:t>
            </w:r>
          </w:p>
        </w:tc>
        <w:tc>
          <w:tcPr>
            <w:tcW w:w="12000" w:type="dxa"/>
            <w:shd w:val="clear" w:color="auto" w:fill="FFFFFF"/>
            <w:noWrap w:val="0"/>
            <w:tcMar>
              <w:top w:w="60" w:type="dxa"/>
            </w:tcMar>
            <w:vAlign w:val="top"/>
          </w:tcPr>
          <w:p>
            <w:pPr>
              <w:jc w:val="left"/>
              <w:rPr>
                <w:b w:val="0"/>
                <w:sz w:val="16"/>
              </w:rPr>
            </w:pPr>
            <w:r>
              <w:rPr>
                <w:b w:val="0"/>
                <w:sz w:val="16"/>
              </w:rPr>
              <w:t>Държавен Фонд "Земеделие" - РА</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бул."Цар Борис III" 136, София 1618</w:t>
            </w:r>
          </w:p>
        </w:tc>
        <w:tc>
          <w:tcPr>
            <w:tcW w:w="12000" w:type="dxa"/>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32" w:name="_Toc256000232"/>
      <w:r>
        <w:rPr>
          <w:b w:val="0"/>
        </w:rPr>
        <w:t>Кратко описание на структурата за управление и контрол на програмата и на процедурите за независимо разглеждане на жалби</w:t>
      </w:r>
      <w:bookmarkEnd w:id="232"/>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r>
              <w:rPr>
                <w:rFonts w:ascii="Times New Roman" w:eastAsia="Times New Roman" w:hAnsi="Times New Roman" w:cs="Times New Roman"/>
                <w:i/>
                <w:iCs/>
                <w:szCs w:val="24"/>
                <w:u w:val="single"/>
              </w:rPr>
              <w:t>Ръководител на Управляващия орган може да бъде друго лице, назначено и упълномощено от Ръководителя на администрацията или организацията, в която се намира Управляващият орган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“Инвестиции в инфраструктура”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2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2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33" w:name="_Toc256000233"/>
      <w:r>
        <w:rPr>
          <w:b w:val="0"/>
        </w:rPr>
        <w:t>Предлаган състав на мониторинговия комитет</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4" w:name="_Toc256000234"/>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3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3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3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3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3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5" w:name="_Toc256000235"/>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36" w:name="_Toc256000236"/>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3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3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7" w:name="_Toc256000237"/>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4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4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4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48"/>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4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5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50"/>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37 493 274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Министерство на земеделието;</w:t>
            </w:r>
          </w:p>
          <w:p>
            <w:pPr>
              <w:numPr>
                <w:ilvl w:val="0"/>
                <w:numId w:val="5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8" w:name="_Toc256000238"/>
      <w:r>
        <w:t>Списък на действията за привличане на партньорите</w:t>
      </w:r>
      <w:bookmarkEnd w:id="238"/>
    </w:p>
    <w:p>
      <w:pPr>
        <w:pStyle w:val="Heading2"/>
      </w:pPr>
      <w:bookmarkStart w:id="239" w:name="_Toc256000239"/>
      <w:r>
        <w:t>16.1.1.Създаване на Тематична работна група (ТРГ) за разработване на ПРСР(2014-2020) с участие на партньорите</w:t>
      </w:r>
      <w:bookmarkEnd w:id="239"/>
    </w:p>
    <w:p>
      <w:pPr>
        <w:pStyle w:val="Heading3"/>
        <w:jc w:val="left"/>
        <w:rPr>
          <w:b w:val="0"/>
        </w:rPr>
      </w:pPr>
      <w:bookmarkStart w:id="240" w:name="_Toc256000240"/>
      <w:r>
        <w:rPr>
          <w:b w:val="0"/>
        </w:rPr>
        <w:t>Предмет на съответната консултация</w:t>
      </w:r>
      <w:bookmarkEnd w:id="2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41" w:name="_Toc256000241"/>
      <w:r>
        <w:rPr>
          <w:b w:val="0"/>
        </w:rPr>
        <w:t>Обобщение на резултатите</w:t>
      </w:r>
      <w:bookmarkEnd w:id="2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42" w:name="_Toc256000242"/>
      <w:r>
        <w:rPr>
          <w:b w:val="0"/>
        </w:rPr>
        <w:t>16.1.2. Провеждане на 7 заседания на ТРГ.</w:t>
      </w:r>
      <w:bookmarkEnd w:id="242"/>
    </w:p>
    <w:p>
      <w:pPr>
        <w:pStyle w:val="Heading3"/>
        <w:jc w:val="left"/>
        <w:rPr>
          <w:b w:val="0"/>
        </w:rPr>
      </w:pPr>
      <w:bookmarkStart w:id="243" w:name="_Toc256000243"/>
      <w:r>
        <w:rPr>
          <w:b w:val="0"/>
        </w:rPr>
        <w:t>Предмет на съответната консултация</w:t>
      </w:r>
      <w:bookmarkEnd w:id="2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44" w:name="_Toc256000244"/>
      <w:r>
        <w:rPr>
          <w:b w:val="0"/>
        </w:rPr>
        <w:t>Обобщение на резултатите</w:t>
      </w:r>
      <w:bookmarkEnd w:id="2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45" w:name="_Toc256000245"/>
      <w:r>
        <w:rPr>
          <w:b w:val="0"/>
        </w:rPr>
        <w:t>16.1.3. Сформиране на фокус групи</w:t>
      </w:r>
      <w:bookmarkEnd w:id="245"/>
    </w:p>
    <w:p>
      <w:pPr>
        <w:pStyle w:val="Heading3"/>
        <w:jc w:val="left"/>
        <w:rPr>
          <w:b w:val="0"/>
        </w:rPr>
      </w:pPr>
      <w:bookmarkStart w:id="246" w:name="_Toc256000246"/>
      <w:r>
        <w:rPr>
          <w:b w:val="0"/>
        </w:rPr>
        <w:t>Предмет на съответната консултация</w:t>
      </w:r>
      <w:bookmarkEnd w:id="2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47" w:name="_Toc256000247"/>
      <w:r>
        <w:rPr>
          <w:b w:val="0"/>
        </w:rPr>
        <w:t>Обобщение на резултатите</w:t>
      </w:r>
      <w:bookmarkEnd w:id="2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8" w:name="_Toc256000248"/>
      <w:r>
        <w:rPr>
          <w:b w:val="0"/>
        </w:rPr>
        <w:t>16.1.4.Привличане на партньори със съвещателен глас</w:t>
      </w:r>
      <w:bookmarkEnd w:id="248"/>
    </w:p>
    <w:p>
      <w:pPr>
        <w:pStyle w:val="Heading3"/>
        <w:jc w:val="left"/>
        <w:rPr>
          <w:b w:val="0"/>
        </w:rPr>
      </w:pPr>
      <w:bookmarkStart w:id="249" w:name="_Toc256000249"/>
      <w:r>
        <w:rPr>
          <w:b w:val="0"/>
        </w:rPr>
        <w:t>Предмет на съответната консултация</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50" w:name="_Toc256000250"/>
      <w:r>
        <w:rPr>
          <w:b w:val="0"/>
        </w:rPr>
        <w:t>Обобщение на резултатите</w:t>
      </w:r>
      <w:bookmarkEnd w:id="2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51" w:name="_Toc256000251"/>
      <w:r>
        <w:rPr>
          <w:b w:val="0"/>
        </w:rPr>
        <w:t>16.1.5.Представяне на ПРСР на три заседания на КН</w:t>
      </w:r>
      <w:bookmarkEnd w:id="251"/>
    </w:p>
    <w:p>
      <w:pPr>
        <w:pStyle w:val="Heading3"/>
        <w:jc w:val="left"/>
        <w:rPr>
          <w:b w:val="0"/>
        </w:rPr>
      </w:pPr>
      <w:bookmarkStart w:id="252" w:name="_Toc256000252"/>
      <w:r>
        <w:rPr>
          <w:b w:val="0"/>
        </w:rPr>
        <w:t>Предмет на съответната консултация</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53" w:name="_Toc256000253"/>
      <w:r>
        <w:rPr>
          <w:b w:val="0"/>
        </w:rPr>
        <w:t>Обобщение на резултатите</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54" w:name="_Toc256000254"/>
      <w:r>
        <w:rPr>
          <w:b w:val="0"/>
        </w:rPr>
        <w:t>16.1.6.Достъп до информация, прозрачност</w:t>
      </w:r>
      <w:bookmarkEnd w:id="254"/>
    </w:p>
    <w:p>
      <w:pPr>
        <w:pStyle w:val="Heading3"/>
        <w:jc w:val="left"/>
        <w:rPr>
          <w:b w:val="0"/>
        </w:rPr>
      </w:pPr>
      <w:bookmarkStart w:id="255" w:name="_Toc256000255"/>
      <w:r>
        <w:rPr>
          <w:b w:val="0"/>
        </w:rPr>
        <w:t>Предмет на съответната консултация</w:t>
      </w:r>
      <w:bookmarkEnd w:id="2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56" w:name="_Toc256000256"/>
      <w:r>
        <w:rPr>
          <w:b w:val="0"/>
        </w:rPr>
        <w:t>Обобщение на резултатите</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57" w:name="_Toc256000257"/>
      <w:r>
        <w:rPr>
          <w:b w:val="0"/>
        </w:rPr>
        <w:t>(Незадължително) разяснения или допълнителна информация за допълване на списъка с действия</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5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8" w:name="_Toc256000258"/>
      <w:r>
        <w:t>Национална мрежа за селските райони</w:t>
      </w:r>
      <w:bookmarkEnd w:id="258"/>
    </w:p>
    <w:p>
      <w:pPr>
        <w:pStyle w:val="Heading2"/>
      </w:pPr>
      <w:bookmarkStart w:id="259" w:name="_Toc256000259"/>
      <w:r>
        <w:t>Процедура и график за създаването на националната мрежа за селските райони („НМСР“)</w:t>
      </w:r>
      <w:bookmarkEnd w:id="2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60" w:name="_Toc256000260"/>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61" w:name="_Toc256000261"/>
      <w:r>
        <w:t>Обобщено описание на основните категории дейности на националната мрежа за селските райони в съответствие с целите на програмата</w:t>
      </w:r>
      <w:bookmarkEnd w:id="2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22"/>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62" w:name="_Toc256000262"/>
      <w:r>
        <w:t>Налични ресурси за създаването и привеждането в действие на националната мрежа за селските райони</w:t>
      </w:r>
      <w:bookmarkEnd w:id="2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63" w:name="_Toc256000263"/>
      <w:r>
        <w:t>Предварителна оценка на доказуемостта и на възможността за контрол, както и на риска от грешки</w:t>
      </w:r>
      <w:bookmarkEnd w:id="263"/>
    </w:p>
    <w:p>
      <w:pPr>
        <w:pStyle w:val="Heading2"/>
      </w:pPr>
      <w:bookmarkStart w:id="264" w:name="_Toc256000264"/>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6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6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6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65" w:name="_Toc256000265"/>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6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66" w:name="_Toc256000266"/>
      <w:r>
        <w:t>Преходни условия</w:t>
      </w:r>
      <w:bookmarkEnd w:id="266"/>
    </w:p>
    <w:p>
      <w:pPr>
        <w:pStyle w:val="Heading2"/>
      </w:pPr>
      <w:bookmarkStart w:id="267" w:name="_Toc256000267"/>
      <w:r>
        <w:t>Описание на преходните условия по мерки</w:t>
      </w:r>
      <w:bookmarkEnd w:id="26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8" w:name="_Toc256000268"/>
      <w:r>
        <w:t>Ориентировъчна таблица за пренос на средства</w:t>
      </w:r>
      <w:bookmarkEnd w:id="2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328"/>
        <w:gridCol w:w="53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M22 - Exceptional temporary support to farmers and SMEs particularly affected by the impact of Russia's invasion of Ukraine (art 39b)</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9" w:name="_Toc256000269"/>
      <w:r>
        <w:t>Тематични подпрограми</w:t>
      </w:r>
      <w:bookmarkEnd w:id="2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20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70" w:name="_Toc256000270"/>
      <w:r>
        <w:rPr>
          <w:b w:val="0"/>
          <w:i w:val="0"/>
        </w:rPr>
        <w:t>Документи</w:t>
      </w:r>
      <w:bookmarkEnd w:id="2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94BB1F03-F199-417B-8071-3EF0F65EBAC3}"/>
    <w:embedBold r:id="rId2" w:fontKey="{991D9FBE-2979-4D10-948C-6EB141640D68}"/>
    <w:embedItalic r:id="rId3" w:fontKey="{8CDE158C-86B3-4EAF-8B73-5F8B08D196A3}"/>
    <w:embedBoldItalic r:id="rId4" w:fontKey="{85F9AFDC-6924-482B-8A7A-0CFED8833B41}"/>
  </w:font>
  <w:font w:name="Symbol">
    <w:panose1 w:val="05050102010706020507"/>
    <w:charset w:val="02"/>
    <w:family w:val="roman"/>
    <w:pitch w:val="variable"/>
    <w:sig w:usb0="00000000" w:usb1="10000000" w:usb2="00000000" w:usb3="00000000" w:csb0="80000000" w:csb1="00000000"/>
    <w:embedRegular r:id="rId5" w:fontKey="{89C9ACD5-3501-469D-929A-62E9B4A35DEF}"/>
  </w:font>
  <w:font w:name="Arial">
    <w:panose1 w:val="020B0604020202020204"/>
    <w:charset w:val="00"/>
    <w:family w:val="swiss"/>
    <w:pitch w:val="variable"/>
    <w:sig w:usb0="E0002AFF" w:usb1="C0007843" w:usb2="00000009" w:usb3="00000000" w:csb0="000001FF" w:csb1="00000000"/>
    <w:embedRegular r:id="rId6" w:fontKey="{86172511-FE8F-4F84-85C1-8E7E0B1CC928}"/>
    <w:embedBold r:id="rId7" w:fontKey="{FAFC351E-B0D8-4B11-915C-981535DF3842}"/>
    <w:embedItalic r:id="rId8" w:fontKey="{DB3928AF-879A-478C-82C4-348D52D1391F}"/>
  </w:font>
  <w:font w:name="Calibri">
    <w:panose1 w:val="020F0502020204030204"/>
    <w:charset w:val="00"/>
    <w:family w:val="swiss"/>
    <w:pitch w:val="variable"/>
    <w:sig w:usb0="E10002FF" w:usb1="4000ACFF" w:usb2="00000009" w:usb3="00000000" w:csb0="0000019F" w:csb1="00000000"/>
    <w:embedRegular r:id="rId9" w:fontKey="{DAA104BE-521B-45D9-A2FA-7030C02162B1}"/>
  </w:font>
  <w:font w:name="Tahoma">
    <w:panose1 w:val="020B0604030504040204"/>
    <w:charset w:val="00"/>
    <w:family w:val="swiss"/>
    <w:pitch w:val="variable"/>
    <w:sig w:usb0="E1002EFF" w:usb1="C000605B" w:usb2="00000029" w:usb3="00000000" w:csb0="000101FF" w:csb1="00000000"/>
    <w:embedRegular r:id="rId10" w:fontKey="{F49CB326-6C61-4FFA-9767-8987A77F64D2}"/>
  </w:font>
  <w:font w:name="Courier New">
    <w:panose1 w:val="02070309020205020404"/>
    <w:charset w:val="00"/>
    <w:family w:val="modern"/>
    <w:pitch w:val="fixed"/>
    <w:sig w:usb0="E0002AFF" w:usb1="C0007843" w:usb2="00000009" w:usb3="00000000" w:csb0="000001FF" w:csb1="00000000"/>
    <w:embedRegular r:id="rId11" w:fontKey="{AAA07CDC-DEAC-451A-93BA-4D38A497DB17}"/>
  </w:font>
  <w:font w:name="Wingdings">
    <w:charset w:val="00"/>
    <w:family w:val="auto"/>
    <w:pitch w:val="default"/>
    <w:sig w:usb0="00000000" w:usb1="00000000" w:usb2="00000000" w:usb3="00000000" w:csb0="00000001" w:csb1="00000000"/>
    <w:embedRegular r:id="rId12" w:fontKey="{3B854F0E-4880-4E0E-9A6F-2EDB61E971A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905</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hybridMultilevel"/>
    <w:tmpl w:val="722304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multilevel"/>
    <w:tmpl w:val="7223053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nsid w:val="72230535"/>
    <w:multiLevelType w:val="multilevel"/>
    <w:tmpl w:val="7223053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7">
    <w:nsid w:val="72230536"/>
    <w:multiLevelType w:val="multilevel"/>
    <w:tmpl w:val="7223053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8">
    <w:nsid w:val="72230537"/>
    <w:multiLevelType w:val="multilevel"/>
    <w:tmpl w:val="7223053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9">
    <w:nsid w:val="72230538"/>
    <w:multiLevelType w:val="hybridMultilevel"/>
    <w:tmpl w:val="722305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hybridMultilevel"/>
    <w:tmpl w:val="722305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multilevel"/>
    <w:tmpl w:val="7223053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nsid w:val="7223053D"/>
    <w:multiLevelType w:val="multilevel"/>
    <w:tmpl w:val="7223053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hybridMultilevel"/>
    <w:tmpl w:val="7223054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hybridMultilevel"/>
    <w:tmpl w:val="722305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nsid w:val="72230542"/>
    <w:multiLevelType w:val="hybridMultilevel"/>
    <w:tmpl w:val="722305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nsid w:val="72230543"/>
    <w:multiLevelType w:val="multilevel"/>
    <w:tmpl w:val="7223054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1">
    <w:nsid w:val="72230544"/>
    <w:multiLevelType w:val="hybridMultilevel"/>
    <w:tmpl w:val="7223054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multilevel"/>
    <w:tmpl w:val="7223054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3">
    <w:nsid w:val="72230546"/>
    <w:multiLevelType w:val="hybridMultilevel"/>
    <w:tmpl w:val="722305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hybridMultilevel"/>
    <w:tmpl w:val="722305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6">
    <w:nsid w:val="72230549"/>
    <w:multiLevelType w:val="multilevel"/>
    <w:tmpl w:val="7223054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7">
    <w:nsid w:val="7223054A"/>
    <w:multiLevelType w:val="hybridMultilevel"/>
    <w:tmpl w:val="7223054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hybridMultilevel"/>
    <w:tmpl w:val="722305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multilevel"/>
    <w:tmpl w:val="7223054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multilevel"/>
    <w:tmpl w:val="722305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3">
    <w:nsid w:val="72230550"/>
    <w:multiLevelType w:val="hybridMultilevel"/>
    <w:tmpl w:val="722305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4">
    <w:nsid w:val="72230551"/>
    <w:multiLevelType w:val="hybridMultilevel"/>
    <w:tmpl w:val="722305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multilevel"/>
    <w:tmpl w:val="722305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8">
    <w:nsid w:val="72230555"/>
    <w:multiLevelType w:val="hybridMultilevel"/>
    <w:tmpl w:val="7223055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multilevel"/>
    <w:tmpl w:val="7223055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multilevel"/>
    <w:tmpl w:val="7223056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6">
    <w:nsid w:val="72230567"/>
    <w:multiLevelType w:val="hybridMultilevel"/>
    <w:tmpl w:val="7223056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hybridMultilevel"/>
    <w:tmpl w:val="7223056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multilevel"/>
    <w:tmpl w:val="7223056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5">
    <w:nsid w:val="72230570"/>
    <w:multiLevelType w:val="multilevel"/>
    <w:tmpl w:val="7223057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6">
    <w:nsid w:val="72230571"/>
    <w:multiLevelType w:val="hybridMultilevel"/>
    <w:tmpl w:val="722305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7">
    <w:nsid w:val="72230572"/>
    <w:multiLevelType w:val="multilevel"/>
    <w:tmpl w:val="722305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8">
    <w:nsid w:val="72230573"/>
    <w:multiLevelType w:val="multilevel"/>
    <w:tmpl w:val="7223057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hybridMultilevel"/>
    <w:tmpl w:val="722305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1">
    <w:nsid w:val="72230576"/>
    <w:multiLevelType w:val="multilevel"/>
    <w:tmpl w:val="7223057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2">
    <w:nsid w:val="72230577"/>
    <w:multiLevelType w:val="hybridMultilevel"/>
    <w:tmpl w:val="722305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3">
    <w:nsid w:val="72230578"/>
    <w:multiLevelType w:val="multilevel"/>
    <w:tmpl w:val="7223057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4">
    <w:nsid w:val="72230579"/>
    <w:multiLevelType w:val="multilevel"/>
    <w:tmpl w:val="722305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5">
    <w:nsid w:val="7223057A"/>
    <w:multiLevelType w:val="multilevel"/>
    <w:tmpl w:val="7223057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6">
    <w:nsid w:val="7223057B"/>
    <w:multiLevelType w:val="hybridMultilevel"/>
    <w:tmpl w:val="7223057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hybridMultilevel"/>
    <w:tmpl w:val="722305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multilevel"/>
    <w:tmpl w:val="7223057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9">
    <w:nsid w:val="7223057E"/>
    <w:multiLevelType w:val="multilevel"/>
    <w:tmpl w:val="7223057E"/>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0">
    <w:nsid w:val="7223057F"/>
    <w:multiLevelType w:val="multilevel"/>
    <w:tmpl w:val="7223057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1">
    <w:nsid w:val="72230580"/>
    <w:multiLevelType w:val="multilevel"/>
    <w:tmpl w:val="72230580"/>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2">
    <w:nsid w:val="72230581"/>
    <w:multiLevelType w:val="multilevel"/>
    <w:tmpl w:val="7223058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3">
    <w:nsid w:val="72230582"/>
    <w:multiLevelType w:val="hybridMultilevel"/>
    <w:tmpl w:val="722305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multilevel"/>
    <w:tmpl w:val="7223058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7">
    <w:nsid w:val="72230586"/>
    <w:multiLevelType w:val="hybridMultilevel"/>
    <w:tmpl w:val="722305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multilevel"/>
    <w:tmpl w:val="722305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0">
    <w:nsid w:val="72230589"/>
    <w:multiLevelType w:val="multilevel"/>
    <w:tmpl w:val="7223058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multilevel"/>
    <w:tmpl w:val="7223059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8">
    <w:nsid w:val="72230591"/>
    <w:multiLevelType w:val="hybridMultilevel"/>
    <w:tmpl w:val="722305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multilevel"/>
    <w:tmpl w:val="7223059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multilevel"/>
    <w:tmpl w:val="722305A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multilevel"/>
    <w:tmpl w:val="722305C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multilevel"/>
    <w:tmpl w:val="722305D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5">
    <w:nsid w:val="722305D4"/>
    <w:multiLevelType w:val="hybridMultilevel"/>
    <w:tmpl w:val="722305D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multilevel"/>
    <w:tmpl w:val="722305D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multilevel"/>
    <w:tmpl w:val="722305D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hybridMultilevel"/>
    <w:tmpl w:val="722305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multilevel"/>
    <w:tmpl w:val="722305E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multilevel"/>
    <w:tmpl w:val="722305E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multilevel"/>
    <w:tmpl w:val="722305E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multilevel"/>
    <w:tmpl w:val="722305F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7">
    <w:nsid w:val="722305F4"/>
    <w:multiLevelType w:val="hybridMultilevel"/>
    <w:tmpl w:val="722305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multilevel"/>
    <w:tmpl w:val="722305F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2">
    <w:nsid w:val="722305F9"/>
    <w:multiLevelType w:val="multilevel"/>
    <w:tmpl w:val="722305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3">
    <w:nsid w:val="722305FA"/>
    <w:multiLevelType w:val="hybridMultilevel"/>
    <w:tmpl w:val="722305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4">
    <w:nsid w:val="722305FB"/>
    <w:multiLevelType w:val="multilevel"/>
    <w:tmpl w:val="722305F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5">
    <w:nsid w:val="722305FC"/>
    <w:multiLevelType w:val="multilevel"/>
    <w:tmpl w:val="722305F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multilevel"/>
    <w:tmpl w:val="722306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multilevel"/>
    <w:tmpl w:val="7223065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3">
    <w:nsid w:val="72230654"/>
    <w:multiLevelType w:val="multilevel"/>
    <w:tmpl w:val="722306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4">
    <w:nsid w:val="72230655"/>
    <w:multiLevelType w:val="hybridMultilevel"/>
    <w:tmpl w:val="722306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multilevel"/>
    <w:tmpl w:val="7223066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multilevel"/>
    <w:tmpl w:val="7223066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multilevel"/>
    <w:tmpl w:val="7223066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multilevel"/>
    <w:tmpl w:val="7223067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multilevel"/>
    <w:tmpl w:val="722306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hybridMultilevel"/>
    <w:tmpl w:val="722306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hybridMultilevel"/>
    <w:tmpl w:val="722306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multilevel"/>
    <w:tmpl w:val="722306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1">
    <w:nsid w:val="7223068E"/>
    <w:multiLevelType w:val="multilevel"/>
    <w:tmpl w:val="7223068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multilevel"/>
    <w:tmpl w:val="722306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5">
    <w:nsid w:val="72230692"/>
    <w:multiLevelType w:val="multilevel"/>
    <w:tmpl w:val="7223069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multilevel"/>
    <w:tmpl w:val="7223069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8">
    <w:nsid w:val="72230695"/>
    <w:multiLevelType w:val="multilevel"/>
    <w:tmpl w:val="7223069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9">
    <w:nsid w:val="72230696"/>
    <w:multiLevelType w:val="hybridMultilevel"/>
    <w:tmpl w:val="722306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hybridMultilevel"/>
    <w:tmpl w:val="7223069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hybridMultilevel"/>
    <w:tmpl w:val="722306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3">
    <w:nsid w:val="7223069A"/>
    <w:multiLevelType w:val="multilevel"/>
    <w:tmpl w:val="7223069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hybridMultilevel"/>
    <w:tmpl w:val="722306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multilevel"/>
    <w:tmpl w:val="722306A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multilevel"/>
    <w:tmpl w:val="722306C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2">
    <w:nsid w:val="722306CB"/>
    <w:multiLevelType w:val="multilevel"/>
    <w:tmpl w:val="722306CB"/>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3">
    <w:nsid w:val="722306CC"/>
    <w:multiLevelType w:val="multilevel"/>
    <w:tmpl w:val="722306CC"/>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4">
    <w:nsid w:val="722306CD"/>
    <w:multiLevelType w:val="multilevel"/>
    <w:tmpl w:val="722306CD"/>
    <w:lvl w:ilvl="0">
      <w:start w:val="7"/>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5">
    <w:nsid w:val="722306CE"/>
    <w:multiLevelType w:val="hybridMultilevel"/>
    <w:tmpl w:val="722306C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multilevel"/>
    <w:tmpl w:val="722306D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hybridMultilevel"/>
    <w:tmpl w:val="722306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multilevel"/>
    <w:tmpl w:val="722306E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0">
    <w:nsid w:val="722306E7"/>
    <w:multiLevelType w:val="multilevel"/>
    <w:tmpl w:val="722306E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1">
    <w:nsid w:val="722306E8"/>
    <w:multiLevelType w:val="multilevel"/>
    <w:tmpl w:val="722306E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2">
    <w:nsid w:val="722306E9"/>
    <w:multiLevelType w:val="multilevel"/>
    <w:tmpl w:val="722306E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hybridMultilevel"/>
    <w:tmpl w:val="722306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6">
    <w:nsid w:val="722306ED"/>
    <w:multiLevelType w:val="hybridMultilevel"/>
    <w:tmpl w:val="722306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7">
    <w:nsid w:val="722306EE"/>
    <w:multiLevelType w:val="hybridMultilevel"/>
    <w:tmpl w:val="722306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8">
    <w:nsid w:val="722306EF"/>
    <w:multiLevelType w:val="hybridMultilevel"/>
    <w:tmpl w:val="722306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hybridMultilevel"/>
    <w:tmpl w:val="722306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hybridMultilevel"/>
    <w:tmpl w:val="722306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hybridMultilevel"/>
    <w:tmpl w:val="722306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hybridMultilevel"/>
    <w:tmpl w:val="722306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7">
    <w:nsid w:val="722306F8"/>
    <w:multiLevelType w:val="hybridMultilevel"/>
    <w:tmpl w:val="722306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8">
    <w:nsid w:val="722306F9"/>
    <w:multiLevelType w:val="multilevel"/>
    <w:tmpl w:val="722306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9">
    <w:nsid w:val="722306FA"/>
    <w:multiLevelType w:val="hybridMultilevel"/>
    <w:tmpl w:val="722306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0">
    <w:nsid w:val="722306FB"/>
    <w:multiLevelType w:val="multilevel"/>
    <w:tmpl w:val="722306F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1">
    <w:nsid w:val="722306FC"/>
    <w:multiLevelType w:val="hybridMultilevel"/>
    <w:tmpl w:val="722306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2">
    <w:nsid w:val="722306FD"/>
    <w:multiLevelType w:val="hybridMultilevel"/>
    <w:tmpl w:val="722306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3">
    <w:nsid w:val="722306FE"/>
    <w:multiLevelType w:val="hybridMultilevel"/>
    <w:tmpl w:val="722306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4">
    <w:nsid w:val="722306FF"/>
    <w:multiLevelType w:val="hybridMultilevel"/>
    <w:tmpl w:val="722306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5">
    <w:nsid w:val="72230700"/>
    <w:multiLevelType w:val="hybridMultilevel"/>
    <w:tmpl w:val="722307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6">
    <w:nsid w:val="72230701"/>
    <w:multiLevelType w:val="hybridMultilevel"/>
    <w:tmpl w:val="722307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7">
    <w:nsid w:val="72230702"/>
    <w:multiLevelType w:val="hybridMultilevel"/>
    <w:tmpl w:val="722307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8">
    <w:nsid w:val="72230703"/>
    <w:multiLevelType w:val="hybridMultilevel"/>
    <w:tmpl w:val="722307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 w:numId="569">
    <w:abstractNumId w:val="571"/>
  </w:num>
  <w:num w:numId="570">
    <w:abstractNumId w:val="572"/>
  </w:num>
  <w:num w:numId="571">
    <w:abstractNumId w:val="573"/>
  </w:num>
  <w:num w:numId="572">
    <w:abstractNumId w:val="574"/>
  </w:num>
  <w:num w:numId="573">
    <w:abstractNumId w:val="575"/>
  </w:num>
  <w:num w:numId="574">
    <w:abstractNumId w:val="576"/>
  </w:num>
  <w:num w:numId="575">
    <w:abstractNumId w:val="577"/>
  </w:num>
  <w:num w:numId="576">
    <w:abstractNumId w:val="57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Table">
    <w:name w:val="Table"/>
    <w:basedOn w:val="TableNormal"/>
    <w:tblPr/>
  </w:style>
  <w:style w:type="table" w:customStyle="1" w:styleId="MsoTableGrid0">
    <w:name w:val="MsoTableGrid0"/>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jpeg" /><Relationship Id="rId23" Type="http://schemas.openxmlformats.org/officeDocument/2006/relationships/numbering" Target="numbering.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905</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